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B008" w14:textId="77777777" w:rsidR="005F5BB2" w:rsidRPr="002F4891" w:rsidRDefault="005F5BB2" w:rsidP="005F5BB2">
      <w:pPr>
        <w:pStyle w:val="NoSpacing"/>
        <w:spacing w:line="276" w:lineRule="auto"/>
        <w:rPr>
          <w:rFonts w:asciiTheme="minorHAnsi" w:hAnsiTheme="minorHAnsi" w:cstheme="minorHAnsi"/>
          <w:b/>
          <w:sz w:val="40"/>
          <w:szCs w:val="32"/>
        </w:rPr>
      </w:pPr>
      <w:r w:rsidRPr="002F4891">
        <w:rPr>
          <w:rFonts w:asciiTheme="minorHAnsi" w:hAnsiTheme="minorHAnsi" w:cstheme="minorHAnsi"/>
          <w:b/>
          <w:sz w:val="40"/>
          <w:szCs w:val="32"/>
        </w:rPr>
        <w:t>Inquiring to Learn</w:t>
      </w:r>
      <w:bookmarkStart w:id="0" w:name="_GoBack"/>
      <w:bookmarkEnd w:id="0"/>
    </w:p>
    <w:p w14:paraId="4F2E0E34" w14:textId="77777777" w:rsidR="005F5BB2" w:rsidRPr="005201D2" w:rsidRDefault="005F5BB2" w:rsidP="005F5BB2">
      <w:pPr>
        <w:pStyle w:val="NoSpacing"/>
        <w:spacing w:line="276" w:lineRule="auto"/>
        <w:rPr>
          <w:rFonts w:asciiTheme="minorHAnsi" w:hAnsiTheme="minorHAnsi"/>
          <w:b/>
          <w:bCs/>
        </w:rPr>
      </w:pPr>
      <w:r w:rsidRPr="00384DB6">
        <w:rPr>
          <w:rFonts w:asciiTheme="minorHAnsi" w:hAnsiTheme="minorHAnsi"/>
          <w:b/>
          <w:bCs/>
        </w:rPr>
        <w:t>IB Practice C3.2 Teaching and learning engages students as inquirers and thinkers.</w:t>
      </w:r>
    </w:p>
    <w:p w14:paraId="34E3BEED" w14:textId="77777777" w:rsidR="005F5BB2" w:rsidRPr="005201D2" w:rsidRDefault="005F5BB2" w:rsidP="005F5BB2">
      <w:pPr>
        <w:pStyle w:val="NoSpacing"/>
        <w:spacing w:line="276" w:lineRule="auto"/>
        <w:rPr>
          <w:rFonts w:asciiTheme="minorHAnsi" w:hAnsiTheme="minorHAnsi"/>
          <w:b/>
          <w:bCs/>
        </w:rPr>
      </w:pPr>
      <w:r w:rsidRPr="00384DB6">
        <w:rPr>
          <w:rFonts w:asciiTheme="minorHAnsi" w:hAnsiTheme="minorHAnsi"/>
          <w:b/>
          <w:bCs/>
        </w:rPr>
        <w:t>IB Practice C3.3 Teaching and learning builds on what students know and can do.</w:t>
      </w:r>
    </w:p>
    <w:p w14:paraId="2020625E" w14:textId="77777777" w:rsidR="005F5BB2" w:rsidRPr="00B766C3" w:rsidRDefault="005F5BB2" w:rsidP="005F5BB2">
      <w:pPr>
        <w:pStyle w:val="NoSpacing"/>
        <w:rPr>
          <w:rStyle w:val="eop"/>
          <w:rFonts w:asciiTheme="minorHAnsi" w:hAnsiTheme="minorHAnsi"/>
        </w:rPr>
      </w:pPr>
      <w:r w:rsidRPr="00C4003E">
        <w:rPr>
          <w:rFonts w:asciiTheme="minorHAnsi" w:hAnsiTheme="minorHAnsi"/>
          <w:b/>
        </w:rPr>
        <w:t xml:space="preserve">PYP Practice: </w:t>
      </w:r>
      <w:r>
        <w:rPr>
          <w:rStyle w:val="normaltextrun"/>
          <w:rFonts w:asciiTheme="minorHAnsi" w:hAnsiTheme="minorHAnsi"/>
          <w:b/>
          <w:bCs/>
        </w:rPr>
        <w:t xml:space="preserve">A.3c.  </w:t>
      </w:r>
      <w:r>
        <w:rPr>
          <w:rStyle w:val="normaltextrun"/>
          <w:rFonts w:asciiTheme="minorHAnsi" w:hAnsiTheme="minorHAnsi"/>
          <w:bCs/>
        </w:rPr>
        <w:t>The school is committed to a constructivist; inquiry-based approach to teaching and learning that promotes inquiry and the development of critical-thinking skills.</w:t>
      </w:r>
    </w:p>
    <w:p w14:paraId="156A6294" w14:textId="77777777" w:rsidR="005F5BB2" w:rsidRPr="00C4003E" w:rsidRDefault="005F5BB2" w:rsidP="005F5BB2">
      <w:pPr>
        <w:pStyle w:val="NoSpacing"/>
        <w:rPr>
          <w:rFonts w:asciiTheme="minorHAnsi" w:hAnsiTheme="minorHAnsi"/>
        </w:rPr>
      </w:pPr>
      <w:r>
        <w:rPr>
          <w:rStyle w:val="eop"/>
          <w:rFonts w:asciiTheme="minorHAnsi" w:hAnsiTheme="minorHAnsi"/>
          <w:b/>
        </w:rPr>
        <w:t>MYP Practice: C3.1a.</w:t>
      </w:r>
      <w:r>
        <w:rPr>
          <w:rStyle w:val="eop"/>
          <w:rFonts w:asciiTheme="minorHAnsi" w:hAnsiTheme="minorHAnsi"/>
        </w:rPr>
        <w:t xml:space="preserve"> Teaching and learning at the school uses global contexts as contexts for inquiry.</w:t>
      </w:r>
    </w:p>
    <w:p w14:paraId="2D54849C" w14:textId="77777777" w:rsidR="005F5BB2" w:rsidRDefault="005F5BB2" w:rsidP="005F5BB2">
      <w:pPr>
        <w:pStyle w:val="NoSpacing"/>
        <w:spacing w:line="276" w:lineRule="auto"/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0"/>
        <w:gridCol w:w="5310"/>
      </w:tblGrid>
      <w:tr w:rsidR="005F5BB2" w:rsidRPr="005202AB" w14:paraId="4DC9CAE3" w14:textId="77777777" w:rsidTr="002F4891">
        <w:trPr>
          <w:jc w:val="center"/>
        </w:trPr>
        <w:tc>
          <w:tcPr>
            <w:tcW w:w="10710" w:type="dxa"/>
            <w:gridSpan w:val="2"/>
            <w:shd w:val="clear" w:color="auto" w:fill="DAC2D7"/>
          </w:tcPr>
          <w:p w14:paraId="1E701B08" w14:textId="77777777" w:rsidR="005F5BB2" w:rsidRPr="005202AB" w:rsidRDefault="005F5BB2" w:rsidP="002F4891">
            <w:pPr>
              <w:pStyle w:val="NoSpacing"/>
              <w:spacing w:line="276" w:lineRule="auto"/>
              <w:rPr>
                <w:rFonts w:asciiTheme="minorHAnsi" w:hAnsiTheme="minorHAnsi"/>
                <w:b/>
                <w:vertAlign w:val="subscript"/>
              </w:rPr>
            </w:pPr>
            <w:r w:rsidRPr="005202AB">
              <w:rPr>
                <w:rFonts w:asciiTheme="minorHAnsi" w:hAnsiTheme="minorHAnsi"/>
                <w:b/>
              </w:rPr>
              <w:t xml:space="preserve">What do I typically do to engage </w:t>
            </w:r>
            <w:r>
              <w:rPr>
                <w:rFonts w:asciiTheme="minorHAnsi" w:hAnsiTheme="minorHAnsi"/>
                <w:b/>
              </w:rPr>
              <w:t>students in inquiry-based learning experiences?</w:t>
            </w:r>
          </w:p>
        </w:tc>
      </w:tr>
      <w:tr w:rsidR="005F5BB2" w:rsidRPr="005202AB" w14:paraId="332C0771" w14:textId="77777777" w:rsidTr="002F4891">
        <w:trPr>
          <w:jc w:val="center"/>
        </w:trPr>
        <w:tc>
          <w:tcPr>
            <w:tcW w:w="10710" w:type="dxa"/>
            <w:gridSpan w:val="2"/>
          </w:tcPr>
          <w:p w14:paraId="51793D28" w14:textId="77777777" w:rsidR="005F5BB2" w:rsidRPr="005201D2" w:rsidRDefault="005F5BB2" w:rsidP="002F4891">
            <w:pPr>
              <w:pStyle w:val="NoSpacing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 xml:space="preserve">The desired result of engaging students in inquiry-based learning experiences is that students actively construct meaning and new understanding of content within transdisciplinary themes/global contexts. </w:t>
            </w:r>
          </w:p>
        </w:tc>
      </w:tr>
      <w:tr w:rsidR="005F5BB2" w:rsidRPr="005202AB" w14:paraId="1426F519" w14:textId="77777777" w:rsidTr="002F4891">
        <w:trPr>
          <w:jc w:val="center"/>
        </w:trPr>
        <w:tc>
          <w:tcPr>
            <w:tcW w:w="5400" w:type="dxa"/>
          </w:tcPr>
          <w:p w14:paraId="3B2640B5" w14:textId="77777777" w:rsidR="005F5BB2" w:rsidRPr="005202AB" w:rsidRDefault="005F5BB2" w:rsidP="002F4891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 Evidence</w:t>
            </w:r>
          </w:p>
          <w:p w14:paraId="458D449B" w14:textId="77777777" w:rsidR="005F5BB2" w:rsidRPr="005202AB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are actively involved in their own learning</w:t>
            </w:r>
          </w:p>
          <w:p w14:paraId="578DDAE1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 xml:space="preserve">Students develop their own questions as they investigate </w:t>
            </w:r>
          </w:p>
          <w:p w14:paraId="7812CB24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>Students communicate how their learning connects to the statement of inquiry (MYP) or central idea (PYP)</w:t>
            </w:r>
          </w:p>
          <w:p w14:paraId="04082961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>Students explain the relationship between content and the global context (MYP)</w:t>
            </w:r>
          </w:p>
          <w:p w14:paraId="4828271C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>Students explain the relationship between content and the transdisciplinary theme (PYP)</w:t>
            </w:r>
          </w:p>
          <w:p w14:paraId="477131D7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>Students evaluate how the inquiry process helped build new understanding</w:t>
            </w:r>
          </w:p>
          <w:p w14:paraId="5C91E8AF" w14:textId="77777777" w:rsidR="005F5BB2" w:rsidRPr="005202AB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</w:t>
            </w:r>
            <w:proofErr w:type="gramStart"/>
            <w:r>
              <w:rPr>
                <w:rFonts w:asciiTheme="minorHAnsi" w:hAnsiTheme="minorHAnsi"/>
              </w:rPr>
              <w:t>take action</w:t>
            </w:r>
            <w:proofErr w:type="gramEnd"/>
            <w:r>
              <w:rPr>
                <w:rFonts w:asciiTheme="minorHAnsi" w:hAnsiTheme="minorHAnsi"/>
              </w:rPr>
              <w:t xml:space="preserve"> as a result of new learnin</w:t>
            </w:r>
            <w:r w:rsidRPr="002F4891">
              <w:rPr>
                <w:rFonts w:asciiTheme="minorHAnsi" w:hAnsiTheme="minorHAnsi"/>
              </w:rPr>
              <w:t>g</w:t>
            </w:r>
          </w:p>
        </w:tc>
        <w:tc>
          <w:tcPr>
            <w:tcW w:w="5310" w:type="dxa"/>
          </w:tcPr>
          <w:p w14:paraId="64986AC6" w14:textId="77777777" w:rsidR="005F5BB2" w:rsidRPr="005202AB" w:rsidRDefault="005F5BB2" w:rsidP="002F4891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5202AB">
              <w:rPr>
                <w:rFonts w:asciiTheme="minorHAnsi" w:hAnsiTheme="minorHAnsi"/>
                <w:b/>
              </w:rPr>
              <w:t xml:space="preserve">Teacher </w:t>
            </w:r>
            <w:r>
              <w:rPr>
                <w:rFonts w:asciiTheme="minorHAnsi" w:hAnsiTheme="minorHAnsi"/>
                <w:b/>
              </w:rPr>
              <w:t>Action</w:t>
            </w:r>
          </w:p>
          <w:p w14:paraId="464508AB" w14:textId="77777777" w:rsidR="005F5BB2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 plan authentic learning engagements that foster students’ curiosity</w:t>
            </w:r>
          </w:p>
          <w:p w14:paraId="616A60AF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>Teachers plan learning experiences through a contextual lens</w:t>
            </w:r>
          </w:p>
          <w:p w14:paraId="490C0E3D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7D0F203A">
              <w:rPr>
                <w:rFonts w:asciiTheme="minorHAnsi" w:hAnsiTheme="minorHAnsi"/>
              </w:rPr>
              <w:t>Teachers engage in an inquiry cycle while planning instruction</w:t>
            </w:r>
          </w:p>
          <w:p w14:paraId="6E8B0CE1" w14:textId="77777777" w:rsidR="005F5BB2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Teachers model behaviors of an inquirer</w:t>
            </w:r>
          </w:p>
          <w:p w14:paraId="677A01F5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7BEC29D8">
              <w:rPr>
                <w:rFonts w:asciiTheme="minorHAnsi" w:hAnsiTheme="minorHAnsi"/>
              </w:rPr>
              <w:t>Teachers intentionally teach the skills of inquiry</w:t>
            </w:r>
          </w:p>
          <w:p w14:paraId="4EA9F556" w14:textId="77777777" w:rsidR="005F5BB2" w:rsidRPr="00D128B7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67E3D1B7">
              <w:rPr>
                <w:rFonts w:asciiTheme="minorHAnsi" w:hAnsiTheme="minorHAnsi"/>
              </w:rPr>
              <w:t>Teachers facilitate an inquiry process</w:t>
            </w:r>
          </w:p>
          <w:p w14:paraId="6935BC35" w14:textId="77777777" w:rsidR="005F5BB2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28974A5D">
              <w:rPr>
                <w:rFonts w:asciiTheme="minorHAnsi" w:hAnsiTheme="minorHAnsi"/>
              </w:rPr>
              <w:t>Teachers provide resources and space for in-depth inquiry and student action</w:t>
            </w:r>
          </w:p>
          <w:p w14:paraId="4D822089" w14:textId="77777777" w:rsidR="005F5BB2" w:rsidRPr="005202AB" w:rsidRDefault="005F5BB2" w:rsidP="005F5BB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6557A5">
              <w:t>Teachers incorporate students’ questions into learning experiences</w:t>
            </w:r>
          </w:p>
        </w:tc>
      </w:tr>
    </w:tbl>
    <w:p w14:paraId="359584F1" w14:textId="77777777" w:rsidR="005F5BB2" w:rsidRDefault="005F5BB2" w:rsidP="005F5BB2">
      <w:pPr>
        <w:pStyle w:val="NoSpacing"/>
        <w:spacing w:line="276" w:lineRule="auto"/>
        <w:rPr>
          <w:rFonts w:asciiTheme="minorHAnsi" w:hAnsiTheme="minorHAnsi"/>
          <w:b/>
        </w:rPr>
      </w:pPr>
    </w:p>
    <w:p w14:paraId="4419E89E" w14:textId="77777777" w:rsidR="005F5BB2" w:rsidRDefault="005F5BB2" w:rsidP="005F5BB2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0710"/>
      </w:tblGrid>
      <w:tr w:rsidR="005F5BB2" w:rsidRPr="00CC3FFC" w14:paraId="1465E470" w14:textId="77777777" w:rsidTr="002F4891">
        <w:trPr>
          <w:jc w:val="center"/>
        </w:trPr>
        <w:tc>
          <w:tcPr>
            <w:tcW w:w="10710" w:type="dxa"/>
            <w:shd w:val="clear" w:color="auto" w:fill="DCBCDA"/>
          </w:tcPr>
          <w:p w14:paraId="30FDD1C9" w14:textId="77777777" w:rsidR="005F5BB2" w:rsidRPr="00CC3FFC" w:rsidRDefault="005F5BB2" w:rsidP="002F489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vertAlign w:val="subscript"/>
              </w:rPr>
            </w:pPr>
            <w:r>
              <w:rPr>
                <w:rFonts w:asciiTheme="minorHAnsi" w:hAnsiTheme="minorHAnsi"/>
                <w:b/>
                <w:sz w:val="22"/>
              </w:rPr>
              <w:t>Possible alignment to Marzano learning map strategies</w:t>
            </w:r>
          </w:p>
        </w:tc>
      </w:tr>
      <w:tr w:rsidR="005F5BB2" w:rsidRPr="00CC3FFC" w14:paraId="0D4AF7CC" w14:textId="77777777" w:rsidTr="002F4891">
        <w:trPr>
          <w:jc w:val="center"/>
        </w:trPr>
        <w:tc>
          <w:tcPr>
            <w:tcW w:w="10710" w:type="dxa"/>
          </w:tcPr>
          <w:p w14:paraId="23F95D0E" w14:textId="77777777" w:rsidR="005F5BB2" w:rsidRPr="00184F1B" w:rsidRDefault="005F5BB2" w:rsidP="005F5BB2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Theme="minorHAnsi" w:hAnsiTheme="minorHAnsi"/>
                <w:sz w:val="22"/>
              </w:rPr>
            </w:pPr>
            <w:r w:rsidRPr="00184F1B">
              <w:rPr>
                <w:rFonts w:asciiTheme="minorHAnsi" w:hAnsiTheme="minorHAnsi"/>
                <w:sz w:val="22"/>
              </w:rPr>
              <w:t xml:space="preserve">Establishing rules and procedures </w:t>
            </w:r>
          </w:p>
          <w:p w14:paraId="307396B0" w14:textId="77777777" w:rsidR="005F5BB2" w:rsidRPr="00184F1B" w:rsidRDefault="005F5BB2" w:rsidP="005F5BB2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Theme="minorHAnsi" w:hAnsiTheme="minorHAnsi"/>
                <w:sz w:val="22"/>
              </w:rPr>
            </w:pPr>
            <w:r w:rsidRPr="00184F1B">
              <w:rPr>
                <w:rFonts w:asciiTheme="minorHAnsi" w:hAnsiTheme="minorHAnsi"/>
                <w:sz w:val="22"/>
              </w:rPr>
              <w:t xml:space="preserve">Recognizing adherence and lack of adherence to rules and procedures </w:t>
            </w:r>
          </w:p>
          <w:p w14:paraId="5D68A50B" w14:textId="77777777" w:rsidR="005F5BB2" w:rsidRPr="00184F1B" w:rsidRDefault="005F5BB2" w:rsidP="005F5BB2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Theme="minorHAnsi" w:hAnsiTheme="minorHAnsi"/>
                <w:sz w:val="22"/>
              </w:rPr>
            </w:pPr>
            <w:r w:rsidRPr="00184F1B">
              <w:rPr>
                <w:rFonts w:asciiTheme="minorHAnsi" w:hAnsiTheme="minorHAnsi"/>
                <w:sz w:val="22"/>
              </w:rPr>
              <w:t>Use engagement strategies</w:t>
            </w:r>
            <w:r>
              <w:rPr>
                <w:rFonts w:asciiTheme="minorHAnsi" w:hAnsiTheme="minorHAnsi"/>
                <w:sz w:val="22"/>
              </w:rPr>
              <w:t xml:space="preserve"> when students are not engaged </w:t>
            </w:r>
          </w:p>
          <w:p w14:paraId="12907F4D" w14:textId="77777777" w:rsidR="005F5BB2" w:rsidRPr="00184F1B" w:rsidRDefault="005F5BB2" w:rsidP="005F5BB2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Theme="minorHAnsi" w:hAnsiTheme="minorHAnsi"/>
                <w:sz w:val="22"/>
              </w:rPr>
            </w:pPr>
            <w:r w:rsidRPr="00184F1B">
              <w:rPr>
                <w:rFonts w:asciiTheme="minorHAnsi" w:hAnsiTheme="minorHAnsi"/>
                <w:sz w:val="22"/>
              </w:rPr>
              <w:t>Communicating high</w:t>
            </w:r>
            <w:r>
              <w:rPr>
                <w:rFonts w:asciiTheme="minorHAnsi" w:hAnsiTheme="minorHAnsi"/>
                <w:sz w:val="22"/>
              </w:rPr>
              <w:t xml:space="preserve"> expectations for all students </w:t>
            </w:r>
          </w:p>
          <w:p w14:paraId="4C705A74" w14:textId="77777777" w:rsidR="005F5BB2" w:rsidRPr="00CC3FFC" w:rsidRDefault="005F5BB2" w:rsidP="005F5BB2">
            <w:pPr>
              <w:pStyle w:val="NoSpacing"/>
              <w:numPr>
                <w:ilvl w:val="0"/>
                <w:numId w:val="1"/>
              </w:numPr>
              <w:ind w:left="337"/>
              <w:rPr>
                <w:rFonts w:asciiTheme="minorHAnsi" w:hAnsiTheme="minorHAnsi"/>
                <w:sz w:val="22"/>
              </w:rPr>
            </w:pPr>
            <w:r w:rsidRPr="00184F1B">
              <w:rPr>
                <w:rFonts w:asciiTheme="minorHAnsi" w:hAnsiTheme="minorHAnsi"/>
                <w:sz w:val="22"/>
              </w:rPr>
              <w:t>Organizing student to interact with content</w:t>
            </w:r>
          </w:p>
        </w:tc>
      </w:tr>
    </w:tbl>
    <w:p w14:paraId="101116EB" w14:textId="77777777" w:rsidR="005F5BB2" w:rsidRPr="005202AB" w:rsidRDefault="005F5BB2" w:rsidP="005F5BB2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72"/>
        <w:gridCol w:w="2681"/>
        <w:gridCol w:w="2894"/>
        <w:gridCol w:w="2743"/>
      </w:tblGrid>
      <w:tr w:rsidR="005F5BB2" w:rsidRPr="00184F1B" w14:paraId="3C7E0411" w14:textId="77777777" w:rsidTr="002F4891">
        <w:trPr>
          <w:jc w:val="center"/>
        </w:trPr>
        <w:tc>
          <w:tcPr>
            <w:tcW w:w="10790" w:type="dxa"/>
            <w:gridSpan w:val="4"/>
            <w:shd w:val="clear" w:color="auto" w:fill="DCBCDA"/>
          </w:tcPr>
          <w:p w14:paraId="7AA8E59F" w14:textId="77777777" w:rsidR="005F5BB2" w:rsidRPr="002F4891" w:rsidRDefault="005F5BB2" w:rsidP="002F4891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2F4891">
              <w:rPr>
                <w:rFonts w:asciiTheme="minorHAnsi" w:hAnsiTheme="minorHAnsi"/>
                <w:b/>
                <w:sz w:val="22"/>
              </w:rPr>
              <w:t>What do I typically do to engage students in learning experiences that are inquiry-based?</w:t>
            </w:r>
          </w:p>
        </w:tc>
      </w:tr>
      <w:tr w:rsidR="005F5BB2" w:rsidRPr="00184F1B" w14:paraId="2263A62B" w14:textId="77777777" w:rsidTr="002F4891">
        <w:trPr>
          <w:jc w:val="center"/>
        </w:trPr>
        <w:tc>
          <w:tcPr>
            <w:tcW w:w="2472" w:type="dxa"/>
            <w:shd w:val="clear" w:color="auto" w:fill="DCBCDA"/>
          </w:tcPr>
          <w:p w14:paraId="496ECB07" w14:textId="77777777" w:rsidR="005F5BB2" w:rsidRPr="002F4891" w:rsidRDefault="005F5BB2" w:rsidP="002F4891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Learn</w:t>
            </w:r>
          </w:p>
        </w:tc>
        <w:tc>
          <w:tcPr>
            <w:tcW w:w="2681" w:type="dxa"/>
            <w:shd w:val="clear" w:color="auto" w:fill="DCBCDA"/>
          </w:tcPr>
          <w:p w14:paraId="3A6FB6FE" w14:textId="77777777" w:rsidR="005F5BB2" w:rsidRPr="002F4891" w:rsidRDefault="005F5BB2" w:rsidP="002F4891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Implement</w:t>
            </w:r>
          </w:p>
        </w:tc>
        <w:tc>
          <w:tcPr>
            <w:tcW w:w="2894" w:type="dxa"/>
            <w:shd w:val="clear" w:color="auto" w:fill="DCBCDA"/>
          </w:tcPr>
          <w:p w14:paraId="6ACBF3E1" w14:textId="77777777" w:rsidR="005F5BB2" w:rsidRPr="002F4891" w:rsidRDefault="005F5BB2" w:rsidP="002F4891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Monitor</w:t>
            </w:r>
          </w:p>
        </w:tc>
        <w:tc>
          <w:tcPr>
            <w:tcW w:w="2743" w:type="dxa"/>
            <w:shd w:val="clear" w:color="auto" w:fill="DCBCDA"/>
          </w:tcPr>
          <w:p w14:paraId="2D57F520" w14:textId="77777777" w:rsidR="005F5BB2" w:rsidRPr="002F4891" w:rsidRDefault="005F5BB2" w:rsidP="002F4891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Impact</w:t>
            </w:r>
          </w:p>
        </w:tc>
      </w:tr>
      <w:tr w:rsidR="005F5BB2" w:rsidRPr="00184F1B" w14:paraId="624EF93F" w14:textId="77777777" w:rsidTr="002F4891">
        <w:trPr>
          <w:jc w:val="center"/>
        </w:trPr>
        <w:tc>
          <w:tcPr>
            <w:tcW w:w="2472" w:type="dxa"/>
          </w:tcPr>
          <w:p w14:paraId="63EA756B" w14:textId="77777777" w:rsidR="005F5BB2" w:rsidRPr="002F4891" w:rsidRDefault="005F5BB2" w:rsidP="002F4891">
            <w:pPr>
              <w:pStyle w:val="NoSpacing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Understand the essential aspects of an inquiry-based classroom and the various forms of inquiry.</w:t>
            </w:r>
          </w:p>
        </w:tc>
        <w:tc>
          <w:tcPr>
            <w:tcW w:w="2681" w:type="dxa"/>
          </w:tcPr>
          <w:p w14:paraId="34A773BF" w14:textId="77777777" w:rsidR="005F5BB2" w:rsidRPr="002F4891" w:rsidRDefault="005F5BB2" w:rsidP="002F4891">
            <w:pPr>
              <w:pStyle w:val="NoSpacing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Engage students in learning experiences which utilize the inquiry cycle and associated skills. (teacher evidence)</w:t>
            </w:r>
          </w:p>
        </w:tc>
        <w:tc>
          <w:tcPr>
            <w:tcW w:w="2894" w:type="dxa"/>
          </w:tcPr>
          <w:p w14:paraId="1710331E" w14:textId="77777777" w:rsidR="005F5BB2" w:rsidRPr="002F4891" w:rsidRDefault="005F5BB2" w:rsidP="002F4891">
            <w:pPr>
              <w:pStyle w:val="NoSpacing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Check for evidence of students’ engagement with the inquiry cycle and use/practice of associated skills. (student evidence)</w:t>
            </w:r>
          </w:p>
        </w:tc>
        <w:tc>
          <w:tcPr>
            <w:tcW w:w="2743" w:type="dxa"/>
          </w:tcPr>
          <w:p w14:paraId="6385B95F" w14:textId="77777777" w:rsidR="005F5BB2" w:rsidRPr="002F4891" w:rsidRDefault="005F5BB2" w:rsidP="002F4891">
            <w:pPr>
              <w:pStyle w:val="NoSpacing"/>
              <w:rPr>
                <w:rFonts w:asciiTheme="minorHAnsi" w:hAnsiTheme="minorHAnsi"/>
                <w:sz w:val="22"/>
              </w:rPr>
            </w:pPr>
            <w:r w:rsidRPr="002F4891">
              <w:rPr>
                <w:rFonts w:asciiTheme="minorHAnsi" w:hAnsiTheme="minorHAnsi"/>
                <w:sz w:val="22"/>
              </w:rPr>
              <w:t>Adapt techniques for using inquiry-based learning in your classroom with high frequency and fidelity. (student evidence)</w:t>
            </w:r>
          </w:p>
          <w:p w14:paraId="1C25698D" w14:textId="77777777" w:rsidR="005F5BB2" w:rsidRPr="002F4891" w:rsidRDefault="005F5BB2" w:rsidP="002F4891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14:paraId="0ABCDA7B" w14:textId="77777777" w:rsidR="005F5BB2" w:rsidRDefault="005F5BB2" w:rsidP="005F5BB2">
      <w:pPr>
        <w:pStyle w:val="NoSpacing"/>
        <w:rPr>
          <w:rFonts w:asciiTheme="minorHAnsi" w:hAnsiTheme="minorHAnsi"/>
          <w:b/>
        </w:rPr>
      </w:pPr>
    </w:p>
    <w:p w14:paraId="0A164614" w14:textId="77777777" w:rsidR="005F5BB2" w:rsidRPr="009D53B6" w:rsidRDefault="005F5BB2" w:rsidP="005F5BB2">
      <w:pPr>
        <w:pStyle w:val="NoSpacing"/>
        <w:rPr>
          <w:rFonts w:asciiTheme="minorHAnsi" w:hAnsiTheme="minorHAnsi"/>
          <w:b/>
        </w:rPr>
      </w:pPr>
      <w:r w:rsidRPr="009D53B6">
        <w:rPr>
          <w:rFonts w:asciiTheme="minorHAnsi" w:hAnsiTheme="minorHAnsi"/>
          <w:b/>
        </w:rPr>
        <w:lastRenderedPageBreak/>
        <w:t>Reflection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4320"/>
        <w:gridCol w:w="4325"/>
      </w:tblGrid>
      <w:tr w:rsidR="005F5BB2" w:rsidRPr="009D53B6" w14:paraId="6BED59CC" w14:textId="77777777" w:rsidTr="002F4891">
        <w:trPr>
          <w:jc w:val="center"/>
        </w:trPr>
        <w:tc>
          <w:tcPr>
            <w:tcW w:w="2065" w:type="dxa"/>
            <w:vMerge w:val="restart"/>
            <w:shd w:val="clear" w:color="auto" w:fill="DCBCDA"/>
          </w:tcPr>
          <w:p w14:paraId="138B12E2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  <w:r w:rsidRPr="009D53B6">
              <w:rPr>
                <w:rFonts w:asciiTheme="minorHAnsi" w:hAnsiTheme="minorHAnsi"/>
                <w:b/>
              </w:rPr>
              <w:t xml:space="preserve">What do I typically do to engage students in learning experiences </w:t>
            </w:r>
            <w:r>
              <w:rPr>
                <w:rFonts w:asciiTheme="minorHAnsi" w:hAnsiTheme="minorHAnsi"/>
                <w:b/>
              </w:rPr>
              <w:t>that are inquiry based</w:t>
            </w:r>
            <w:r w:rsidRPr="009D53B6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320" w:type="dxa"/>
            <w:shd w:val="clear" w:color="auto" w:fill="DCBCDA"/>
          </w:tcPr>
          <w:p w14:paraId="5960229F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  <w:r w:rsidRPr="009D53B6">
              <w:rPr>
                <w:rFonts w:asciiTheme="minorHAnsi" w:hAnsiTheme="minorHAnsi"/>
              </w:rPr>
              <w:t>How did th</w:t>
            </w:r>
            <w:r>
              <w:rPr>
                <w:rFonts w:asciiTheme="minorHAnsi" w:hAnsiTheme="minorHAnsi"/>
              </w:rPr>
              <w:t>e use of inquiry-based learning</w:t>
            </w:r>
            <w:r w:rsidRPr="009D53B6">
              <w:rPr>
                <w:rFonts w:asciiTheme="minorHAnsi" w:hAnsiTheme="minorHAnsi"/>
              </w:rPr>
              <w:t xml:space="preserve"> engagements deepen student </w:t>
            </w:r>
            <w:r>
              <w:rPr>
                <w:rFonts w:asciiTheme="minorHAnsi" w:hAnsiTheme="minorHAnsi"/>
              </w:rPr>
              <w:t>understanding within transdisciplinary themes/global contexts</w:t>
            </w:r>
            <w:r w:rsidRPr="009D53B6">
              <w:rPr>
                <w:rFonts w:asciiTheme="minorHAnsi" w:hAnsiTheme="minorHAnsi"/>
              </w:rPr>
              <w:t>?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DCBCDA"/>
          </w:tcPr>
          <w:p w14:paraId="581D0248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  <w:r w:rsidRPr="009D53B6">
              <w:rPr>
                <w:rFonts w:asciiTheme="minorHAnsi" w:hAnsiTheme="minorHAnsi"/>
              </w:rPr>
              <w:t>What next steps will support you in deepening this practice?</w:t>
            </w:r>
          </w:p>
        </w:tc>
      </w:tr>
      <w:tr w:rsidR="005F5BB2" w:rsidRPr="009D53B6" w14:paraId="079B7537" w14:textId="77777777" w:rsidTr="002F4891">
        <w:trPr>
          <w:jc w:val="center"/>
        </w:trPr>
        <w:tc>
          <w:tcPr>
            <w:tcW w:w="2065" w:type="dxa"/>
            <w:vMerge/>
            <w:shd w:val="clear" w:color="auto" w:fill="D9E2F3" w:themeFill="accent1" w:themeFillTint="33"/>
          </w:tcPr>
          <w:p w14:paraId="0B9AD88E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E72735C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17C07DF8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4EAD5C00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6BAF3BB9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3C930C3D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70494684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4623254C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4D5AAB73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2A7048A0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309EE08B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  <w:p w14:paraId="5A18F3BC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14:paraId="0A4B58D4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71EC7B4C" w14:textId="77777777" w:rsidR="005F5BB2" w:rsidRPr="009D53B6" w:rsidRDefault="005F5BB2" w:rsidP="005F5BB2">
      <w:pPr>
        <w:pStyle w:val="NoSpacing"/>
        <w:rPr>
          <w:rFonts w:asciiTheme="minorHAnsi" w:hAnsiTheme="minorHAnsi"/>
          <w:b/>
        </w:rPr>
      </w:pPr>
    </w:p>
    <w:p w14:paraId="1842F4EB" w14:textId="77777777" w:rsidR="005F5BB2" w:rsidRPr="009D53B6" w:rsidRDefault="005F5BB2" w:rsidP="005F5BB2">
      <w:pPr>
        <w:pStyle w:val="NoSpacing"/>
        <w:rPr>
          <w:rFonts w:asciiTheme="minorHAnsi" w:hAnsiTheme="minorHAnsi"/>
          <w:b/>
        </w:rPr>
      </w:pPr>
      <w:r w:rsidRPr="009D53B6">
        <w:rPr>
          <w:rFonts w:asciiTheme="minorHAnsi" w:hAnsiTheme="minorHAnsi"/>
          <w:b/>
        </w:rPr>
        <w:t xml:space="preserve">Strategies to engage students in learning experiences </w:t>
      </w:r>
      <w:r>
        <w:rPr>
          <w:rFonts w:asciiTheme="minorHAnsi" w:hAnsiTheme="minorHAnsi"/>
          <w:b/>
        </w:rPr>
        <w:t>that are inquiry based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1795"/>
        <w:gridCol w:w="8910"/>
      </w:tblGrid>
      <w:tr w:rsidR="005F5BB2" w:rsidRPr="009D53B6" w14:paraId="53AE18C2" w14:textId="77777777" w:rsidTr="002F4891">
        <w:trPr>
          <w:trHeight w:val="1125"/>
          <w:jc w:val="center"/>
        </w:trPr>
        <w:tc>
          <w:tcPr>
            <w:tcW w:w="1795" w:type="dxa"/>
            <w:shd w:val="clear" w:color="auto" w:fill="DCBCDA"/>
            <w:vAlign w:val="center"/>
          </w:tcPr>
          <w:p w14:paraId="5BBA9AD6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910" w:type="dxa"/>
          </w:tcPr>
          <w:p w14:paraId="20D2D7D0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F5BB2" w:rsidRPr="009D53B6" w14:paraId="3A6160EE" w14:textId="77777777" w:rsidTr="002F4891">
        <w:trPr>
          <w:trHeight w:val="1125"/>
          <w:jc w:val="center"/>
        </w:trPr>
        <w:tc>
          <w:tcPr>
            <w:tcW w:w="1795" w:type="dxa"/>
            <w:shd w:val="clear" w:color="auto" w:fill="DCBCDA"/>
            <w:vAlign w:val="center"/>
          </w:tcPr>
          <w:p w14:paraId="58F8AE48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910" w:type="dxa"/>
          </w:tcPr>
          <w:p w14:paraId="5742D7E5" w14:textId="77777777" w:rsidR="005F5BB2" w:rsidRPr="009D53B6" w:rsidRDefault="005F5BB2" w:rsidP="002F4891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44D06426" w14:textId="77777777" w:rsidR="005F5BB2" w:rsidRPr="009D53B6" w:rsidRDefault="005F5BB2" w:rsidP="005F5BB2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099EEFE8" w14:textId="77777777" w:rsidR="005F5BB2" w:rsidRPr="009D53B6" w:rsidRDefault="005F5BB2" w:rsidP="005F5BB2">
      <w:pPr>
        <w:pStyle w:val="NoSpacing"/>
        <w:rPr>
          <w:rFonts w:asciiTheme="minorHAnsi" w:hAnsiTheme="minorHAnsi"/>
        </w:rPr>
      </w:pPr>
    </w:p>
    <w:p w14:paraId="03F97E6A" w14:textId="77777777" w:rsidR="006E5BDF" w:rsidRDefault="006E5BDF"/>
    <w:sectPr w:rsidR="006E5BDF" w:rsidSect="002F4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5FCD" w14:textId="77777777" w:rsidR="005F5BB2" w:rsidRDefault="005F5BB2" w:rsidP="005F5BB2">
      <w:pPr>
        <w:spacing w:after="0" w:line="240" w:lineRule="auto"/>
      </w:pPr>
      <w:r>
        <w:separator/>
      </w:r>
    </w:p>
  </w:endnote>
  <w:endnote w:type="continuationSeparator" w:id="0">
    <w:p w14:paraId="15BD3EE8" w14:textId="77777777" w:rsidR="005F5BB2" w:rsidRDefault="005F5BB2" w:rsidP="005F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D67A" w14:textId="77777777" w:rsidR="005F5BB2" w:rsidRDefault="005F5BB2" w:rsidP="005F5BB2">
      <w:pPr>
        <w:spacing w:after="0" w:line="240" w:lineRule="auto"/>
      </w:pPr>
      <w:r>
        <w:separator/>
      </w:r>
    </w:p>
  </w:footnote>
  <w:footnote w:type="continuationSeparator" w:id="0">
    <w:p w14:paraId="283569C2" w14:textId="77777777" w:rsidR="005F5BB2" w:rsidRDefault="005F5BB2" w:rsidP="005F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4D2"/>
    <w:multiLevelType w:val="hybridMultilevel"/>
    <w:tmpl w:val="23DC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5D0"/>
    <w:multiLevelType w:val="hybridMultilevel"/>
    <w:tmpl w:val="91EC9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B2"/>
    <w:rsid w:val="005F5BB2"/>
    <w:rsid w:val="006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D3B8F"/>
  <w15:chartTrackingRefBased/>
  <w15:docId w15:val="{F47E0F44-FC71-4EF2-A2FC-ED032A8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B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BB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5BB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5BB2"/>
  </w:style>
  <w:style w:type="character" w:customStyle="1" w:styleId="eop">
    <w:name w:val="eop"/>
    <w:basedOn w:val="DefaultParagraphFont"/>
    <w:rsid w:val="005F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Olivia</dc:creator>
  <cp:keywords/>
  <dc:description/>
  <cp:lastModifiedBy>Howe, Olivia</cp:lastModifiedBy>
  <cp:revision>1</cp:revision>
  <dcterms:created xsi:type="dcterms:W3CDTF">2018-09-06T17:53:00Z</dcterms:created>
  <dcterms:modified xsi:type="dcterms:W3CDTF">2018-09-06T17:54:00Z</dcterms:modified>
</cp:coreProperties>
</file>