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5EAD" w14:textId="50446EBC" w:rsidR="00BE3181" w:rsidRDefault="2C6F1548" w:rsidP="008E35E9">
      <w:pPr>
        <w:pStyle w:val="NoSpacing"/>
        <w:spacing w:line="276" w:lineRule="auto"/>
        <w:ind w:right="90"/>
        <w:rPr>
          <w:rFonts w:asciiTheme="minorHAnsi" w:hAnsiTheme="minorHAnsi"/>
          <w:b/>
          <w:bCs/>
          <w:sz w:val="32"/>
          <w:szCs w:val="32"/>
        </w:rPr>
      </w:pPr>
      <w:r w:rsidRPr="2C6F1548">
        <w:rPr>
          <w:rFonts w:asciiTheme="minorHAnsi" w:hAnsiTheme="minorHAnsi"/>
          <w:b/>
          <w:bCs/>
          <w:sz w:val="32"/>
          <w:szCs w:val="32"/>
        </w:rPr>
        <w:t xml:space="preserve">Reflecting </w:t>
      </w:r>
      <w:r w:rsidR="0003716D">
        <w:rPr>
          <w:rFonts w:asciiTheme="minorHAnsi" w:hAnsiTheme="minorHAnsi"/>
          <w:b/>
          <w:bCs/>
          <w:sz w:val="32"/>
          <w:szCs w:val="32"/>
        </w:rPr>
        <w:t>as a Learner</w:t>
      </w:r>
    </w:p>
    <w:p w14:paraId="432F6294" w14:textId="3D7376F1" w:rsidR="002D4787" w:rsidRPr="009C118B" w:rsidRDefault="2C6F1548" w:rsidP="008E35E9">
      <w:pPr>
        <w:pStyle w:val="NoSpacing"/>
        <w:spacing w:line="276" w:lineRule="auto"/>
        <w:ind w:right="90"/>
        <w:rPr>
          <w:rFonts w:asciiTheme="minorHAnsi" w:hAnsiTheme="minorHAnsi" w:cstheme="minorBidi"/>
          <w:b/>
          <w:bCs/>
          <w:sz w:val="28"/>
          <w:szCs w:val="32"/>
        </w:rPr>
      </w:pPr>
      <w:r w:rsidRPr="009C118B">
        <w:rPr>
          <w:rFonts w:asciiTheme="minorHAnsi" w:hAnsiTheme="minorHAnsi" w:cstheme="minorBidi"/>
          <w:b/>
          <w:bCs/>
          <w:sz w:val="22"/>
        </w:rPr>
        <w:t>IB Practice: C3.13</w:t>
      </w:r>
      <w:r w:rsidRPr="009C118B">
        <w:rPr>
          <w:rFonts w:asciiTheme="minorHAnsi" w:hAnsiTheme="minorHAnsi" w:cstheme="minorBidi"/>
          <w:sz w:val="22"/>
        </w:rPr>
        <w:t xml:space="preserve"> Teaching and learning engages students in reflecting on how, what and why they are learning. </w:t>
      </w:r>
    </w:p>
    <w:p w14:paraId="2464CC64" w14:textId="5F33040D" w:rsidR="00C4003E" w:rsidRPr="009C118B" w:rsidRDefault="00C4003E" w:rsidP="008E35E9">
      <w:pPr>
        <w:pStyle w:val="NoSpacing"/>
        <w:ind w:right="90"/>
        <w:rPr>
          <w:rFonts w:asciiTheme="minorHAnsi" w:hAnsiTheme="minorHAnsi"/>
          <w:sz w:val="22"/>
        </w:rPr>
      </w:pPr>
    </w:p>
    <w:tbl>
      <w:tblPr>
        <w:tblStyle w:val="TableGrid"/>
        <w:tblW w:w="10710" w:type="dxa"/>
        <w:jc w:val="center"/>
        <w:tblLook w:val="04A0" w:firstRow="1" w:lastRow="0" w:firstColumn="1" w:lastColumn="0" w:noHBand="0" w:noVBand="1"/>
      </w:tblPr>
      <w:tblGrid>
        <w:gridCol w:w="5400"/>
        <w:gridCol w:w="5310"/>
      </w:tblGrid>
      <w:tr w:rsidR="0003716D" w:rsidRPr="005202AB" w14:paraId="6EC4BCFA" w14:textId="77777777" w:rsidTr="00582E76">
        <w:trPr>
          <w:jc w:val="center"/>
        </w:trPr>
        <w:tc>
          <w:tcPr>
            <w:tcW w:w="10710" w:type="dxa"/>
            <w:gridSpan w:val="2"/>
            <w:shd w:val="clear" w:color="auto" w:fill="FD7C67"/>
          </w:tcPr>
          <w:p w14:paraId="0DFAEF8D" w14:textId="77777777" w:rsidR="0003716D" w:rsidRPr="005202AB" w:rsidRDefault="0003716D" w:rsidP="00582E76">
            <w:pPr>
              <w:pStyle w:val="NoSpacing"/>
              <w:spacing w:line="276" w:lineRule="auto"/>
              <w:rPr>
                <w:rFonts w:asciiTheme="minorHAnsi" w:hAnsiTheme="minorHAnsi"/>
                <w:b/>
                <w:bCs/>
                <w:vertAlign w:val="subscript"/>
              </w:rPr>
            </w:pPr>
            <w:r w:rsidRPr="2C6F1548">
              <w:rPr>
                <w:rFonts w:asciiTheme="minorHAnsi" w:hAnsiTheme="minorHAnsi"/>
                <w:b/>
                <w:bCs/>
              </w:rPr>
              <w:t>What do I typically do to engage students in reflecting on how, what and why they are learning?</w:t>
            </w:r>
          </w:p>
        </w:tc>
      </w:tr>
      <w:tr w:rsidR="0003716D" w:rsidRPr="005202AB" w14:paraId="71B5D883" w14:textId="77777777" w:rsidTr="00582E76">
        <w:trPr>
          <w:jc w:val="center"/>
        </w:trPr>
        <w:tc>
          <w:tcPr>
            <w:tcW w:w="10710" w:type="dxa"/>
            <w:gridSpan w:val="2"/>
          </w:tcPr>
          <w:p w14:paraId="0C92AAF9" w14:textId="77777777" w:rsidR="0003716D" w:rsidRPr="009D53B6" w:rsidRDefault="0003716D" w:rsidP="00582E76">
            <w:pPr>
              <w:pStyle w:val="NoSpacing"/>
              <w:rPr>
                <w:rFonts w:asciiTheme="minorHAnsi" w:hAnsiTheme="minorHAnsi"/>
              </w:rPr>
            </w:pPr>
            <w:r w:rsidRPr="2C6F1548">
              <w:rPr>
                <w:rFonts w:asciiTheme="minorHAnsi" w:hAnsiTheme="minorHAnsi"/>
              </w:rPr>
              <w:t>The desired results of engaging students in reflection is that students gain new insight into the ways they learn best, recognize their developing understanding, and consider the relevance of their learning.</w:t>
            </w:r>
          </w:p>
        </w:tc>
      </w:tr>
      <w:tr w:rsidR="0003716D" w:rsidRPr="005202AB" w14:paraId="62121F61" w14:textId="77777777" w:rsidTr="00582E76">
        <w:trPr>
          <w:jc w:val="center"/>
        </w:trPr>
        <w:tc>
          <w:tcPr>
            <w:tcW w:w="5400" w:type="dxa"/>
          </w:tcPr>
          <w:p w14:paraId="6840136C" w14:textId="77777777" w:rsidR="0003716D" w:rsidRPr="00B9661F" w:rsidRDefault="0003716D" w:rsidP="00582E76">
            <w:pPr>
              <w:pStyle w:val="NoSpacing"/>
              <w:spacing w:line="276" w:lineRule="auto"/>
              <w:rPr>
                <w:rFonts w:asciiTheme="minorHAnsi" w:hAnsiTheme="minorHAnsi"/>
                <w:b/>
                <w:bCs/>
              </w:rPr>
            </w:pPr>
            <w:r>
              <w:rPr>
                <w:rFonts w:asciiTheme="minorHAnsi" w:hAnsiTheme="minorHAnsi"/>
                <w:b/>
                <w:bCs/>
              </w:rPr>
              <w:t>S</w:t>
            </w:r>
            <w:r w:rsidRPr="2C6F1548">
              <w:rPr>
                <w:rFonts w:asciiTheme="minorHAnsi" w:hAnsiTheme="minorHAnsi"/>
                <w:b/>
                <w:bCs/>
              </w:rPr>
              <w:t>tudent Evidence</w:t>
            </w:r>
          </w:p>
          <w:p w14:paraId="7D35FD8F" w14:textId="77777777" w:rsidR="0003716D" w:rsidRDefault="0003716D" w:rsidP="0003716D">
            <w:pPr>
              <w:pStyle w:val="NoSpacing"/>
              <w:numPr>
                <w:ilvl w:val="0"/>
                <w:numId w:val="6"/>
              </w:numPr>
              <w:spacing w:line="276" w:lineRule="auto"/>
              <w:rPr>
                <w:rFonts w:asciiTheme="minorHAnsi" w:hAnsiTheme="minorHAnsi"/>
              </w:rPr>
            </w:pPr>
            <w:r w:rsidRPr="2C6F1548">
              <w:rPr>
                <w:rFonts w:asciiTheme="minorHAnsi" w:hAnsiTheme="minorHAnsi"/>
              </w:rPr>
              <w:t>Students understand the learning goal/target and how to be successful</w:t>
            </w:r>
          </w:p>
          <w:p w14:paraId="1B4D434C" w14:textId="77777777" w:rsidR="0003716D" w:rsidRDefault="0003716D" w:rsidP="0003716D">
            <w:pPr>
              <w:pStyle w:val="NoSpacing"/>
              <w:numPr>
                <w:ilvl w:val="0"/>
                <w:numId w:val="6"/>
              </w:numPr>
              <w:spacing w:line="276" w:lineRule="auto"/>
              <w:rPr>
                <w:rFonts w:asciiTheme="minorHAnsi" w:hAnsiTheme="minorHAnsi"/>
              </w:rPr>
            </w:pPr>
            <w:r w:rsidRPr="2C6F1548">
              <w:rPr>
                <w:rFonts w:asciiTheme="minorHAnsi" w:hAnsiTheme="minorHAnsi"/>
              </w:rPr>
              <w:t xml:space="preserve">Students self-assess progress towards learning targets </w:t>
            </w:r>
          </w:p>
          <w:p w14:paraId="7E1B8742" w14:textId="77777777" w:rsidR="0003716D" w:rsidRPr="000A110F" w:rsidRDefault="0003716D" w:rsidP="0003716D">
            <w:pPr>
              <w:pStyle w:val="NoSpacing"/>
              <w:numPr>
                <w:ilvl w:val="0"/>
                <w:numId w:val="6"/>
              </w:numPr>
              <w:spacing w:line="276" w:lineRule="auto"/>
              <w:rPr>
                <w:rFonts w:asciiTheme="minorHAnsi" w:hAnsiTheme="minorHAnsi"/>
              </w:rPr>
            </w:pPr>
            <w:r w:rsidRPr="2C6F1548">
              <w:rPr>
                <w:rFonts w:asciiTheme="minorHAnsi" w:hAnsiTheme="minorHAnsi"/>
              </w:rPr>
              <w:t>Students self-assess prior to submitting work for teacher assessment</w:t>
            </w:r>
          </w:p>
          <w:p w14:paraId="0120E837" w14:textId="77777777" w:rsidR="0003716D" w:rsidRDefault="0003716D" w:rsidP="0003716D">
            <w:pPr>
              <w:pStyle w:val="NoSpacing"/>
              <w:numPr>
                <w:ilvl w:val="0"/>
                <w:numId w:val="6"/>
              </w:numPr>
              <w:spacing w:line="276" w:lineRule="auto"/>
              <w:rPr>
                <w:rFonts w:asciiTheme="minorHAnsi" w:hAnsiTheme="minorHAnsi"/>
              </w:rPr>
            </w:pPr>
            <w:r w:rsidRPr="2C6F1548">
              <w:rPr>
                <w:rFonts w:asciiTheme="minorHAnsi" w:hAnsiTheme="minorHAnsi"/>
              </w:rPr>
              <w:t>Students explain what they could have done and/or what they can still do to enhance their learning</w:t>
            </w:r>
          </w:p>
          <w:p w14:paraId="6679358F" w14:textId="77777777" w:rsidR="0003716D" w:rsidRDefault="0003716D" w:rsidP="0003716D">
            <w:pPr>
              <w:pStyle w:val="NoSpacing"/>
              <w:numPr>
                <w:ilvl w:val="0"/>
                <w:numId w:val="6"/>
              </w:numPr>
              <w:spacing w:line="276" w:lineRule="auto"/>
              <w:rPr>
                <w:rFonts w:asciiTheme="minorHAnsi" w:hAnsiTheme="minorHAnsi"/>
              </w:rPr>
            </w:pPr>
            <w:r w:rsidRPr="2C6F1548">
              <w:rPr>
                <w:rFonts w:asciiTheme="minorHAnsi" w:hAnsiTheme="minorHAnsi"/>
              </w:rPr>
              <w:t>Student actions and reflections display a growth mindset</w:t>
            </w:r>
          </w:p>
          <w:p w14:paraId="530895E7" w14:textId="77777777" w:rsidR="0003716D" w:rsidRDefault="0003716D" w:rsidP="0003716D">
            <w:pPr>
              <w:pStyle w:val="NoSpacing"/>
              <w:numPr>
                <w:ilvl w:val="0"/>
                <w:numId w:val="6"/>
              </w:numPr>
              <w:spacing w:line="276" w:lineRule="auto"/>
            </w:pPr>
            <w:r w:rsidRPr="2C6F1548">
              <w:rPr>
                <w:rFonts w:asciiTheme="minorHAnsi" w:hAnsiTheme="minorHAnsi"/>
              </w:rPr>
              <w:t>Students assess the reasonableness of their responses</w:t>
            </w:r>
          </w:p>
          <w:p w14:paraId="0B6B93E4" w14:textId="77777777" w:rsidR="0003716D" w:rsidRDefault="0003716D" w:rsidP="0003716D">
            <w:pPr>
              <w:pStyle w:val="NoSpacing"/>
              <w:numPr>
                <w:ilvl w:val="0"/>
                <w:numId w:val="6"/>
              </w:numPr>
              <w:spacing w:line="276" w:lineRule="auto"/>
            </w:pPr>
            <w:r w:rsidRPr="2C6F1548">
              <w:rPr>
                <w:rFonts w:asciiTheme="minorHAnsi" w:hAnsiTheme="minorHAnsi"/>
              </w:rPr>
              <w:t>Students examine bias and look for inaccuracy in their own work and in their sources</w:t>
            </w:r>
          </w:p>
          <w:p w14:paraId="3915448E" w14:textId="77777777" w:rsidR="0003716D" w:rsidRPr="00D21E4D" w:rsidRDefault="0003716D" w:rsidP="0003716D">
            <w:pPr>
              <w:pStyle w:val="NoSpacing"/>
              <w:numPr>
                <w:ilvl w:val="0"/>
                <w:numId w:val="6"/>
              </w:numPr>
              <w:spacing w:line="276" w:lineRule="auto"/>
              <w:rPr>
                <w:rFonts w:asciiTheme="minorHAnsi" w:hAnsiTheme="minorHAnsi"/>
              </w:rPr>
            </w:pPr>
            <w:r w:rsidRPr="2C6F1548">
              <w:rPr>
                <w:rFonts w:asciiTheme="minorHAnsi" w:hAnsiTheme="minorHAnsi"/>
              </w:rPr>
              <w:t>Students describe their degree of effort or preparation</w:t>
            </w:r>
          </w:p>
          <w:p w14:paraId="7FF3D44C" w14:textId="77777777" w:rsidR="0003716D" w:rsidRDefault="0003716D" w:rsidP="0003716D">
            <w:pPr>
              <w:pStyle w:val="NoSpacing"/>
              <w:numPr>
                <w:ilvl w:val="0"/>
                <w:numId w:val="6"/>
              </w:numPr>
              <w:spacing w:line="276" w:lineRule="auto"/>
              <w:rPr>
                <w:rFonts w:asciiTheme="minorHAnsi" w:hAnsiTheme="minorHAnsi"/>
              </w:rPr>
            </w:pPr>
            <w:r w:rsidRPr="2C6F1548">
              <w:rPr>
                <w:rFonts w:asciiTheme="minorHAnsi" w:hAnsiTheme="minorHAnsi"/>
              </w:rPr>
              <w:t>Students explain connections between the classroom content, global contexts/themes and their real lives</w:t>
            </w:r>
          </w:p>
          <w:p w14:paraId="380B642C" w14:textId="3001CC33" w:rsidR="0003716D" w:rsidRPr="0003716D" w:rsidRDefault="0003716D" w:rsidP="0003716D">
            <w:pPr>
              <w:pStyle w:val="NoSpacing"/>
              <w:numPr>
                <w:ilvl w:val="0"/>
                <w:numId w:val="6"/>
              </w:numPr>
              <w:spacing w:line="276" w:lineRule="auto"/>
              <w:rPr>
                <w:rFonts w:asciiTheme="minorHAnsi" w:hAnsiTheme="minorHAnsi"/>
              </w:rPr>
            </w:pPr>
            <w:r w:rsidRPr="003F3371">
              <w:rPr>
                <w:rFonts w:asciiTheme="minorHAnsi" w:hAnsiTheme="minorHAnsi"/>
              </w:rPr>
              <w:t>Students describe how they can turn their understanding into action to better the world</w:t>
            </w:r>
          </w:p>
        </w:tc>
        <w:tc>
          <w:tcPr>
            <w:tcW w:w="5310" w:type="dxa"/>
          </w:tcPr>
          <w:p w14:paraId="280EBB8F" w14:textId="77777777" w:rsidR="0003716D" w:rsidRPr="003F3371" w:rsidRDefault="0003716D" w:rsidP="00582E76">
            <w:pPr>
              <w:pStyle w:val="NoSpacing"/>
              <w:spacing w:line="276" w:lineRule="auto"/>
              <w:rPr>
                <w:rFonts w:asciiTheme="minorHAnsi" w:hAnsiTheme="minorHAnsi"/>
              </w:rPr>
            </w:pPr>
            <w:r w:rsidRPr="003F3371">
              <w:rPr>
                <w:rFonts w:asciiTheme="minorHAnsi" w:hAnsiTheme="minorHAnsi"/>
                <w:b/>
                <w:bCs/>
              </w:rPr>
              <w:t xml:space="preserve">Teacher </w:t>
            </w:r>
            <w:r>
              <w:rPr>
                <w:rFonts w:asciiTheme="minorHAnsi" w:hAnsiTheme="minorHAnsi"/>
                <w:b/>
                <w:bCs/>
              </w:rPr>
              <w:t>Action</w:t>
            </w:r>
          </w:p>
          <w:p w14:paraId="583E330A" w14:textId="77777777" w:rsidR="0003716D" w:rsidRDefault="0003716D" w:rsidP="0003716D">
            <w:pPr>
              <w:pStyle w:val="NoSpacing"/>
              <w:numPr>
                <w:ilvl w:val="0"/>
                <w:numId w:val="6"/>
              </w:numPr>
              <w:spacing w:line="276" w:lineRule="auto"/>
              <w:rPr>
                <w:rFonts w:asciiTheme="minorHAnsi" w:hAnsiTheme="minorHAnsi"/>
              </w:rPr>
            </w:pPr>
            <w:r>
              <w:rPr>
                <w:rFonts w:asciiTheme="minorHAnsi" w:hAnsiTheme="minorHAnsi"/>
              </w:rPr>
              <w:t>Teacher</w:t>
            </w:r>
            <w:r w:rsidRPr="2C6F1548">
              <w:rPr>
                <w:rFonts w:asciiTheme="minorHAnsi" w:hAnsiTheme="minorHAnsi"/>
              </w:rPr>
              <w:t xml:space="preserve"> clearly communicate</w:t>
            </w:r>
            <w:r>
              <w:rPr>
                <w:rFonts w:asciiTheme="minorHAnsi" w:hAnsiTheme="minorHAnsi"/>
              </w:rPr>
              <w:t>s</w:t>
            </w:r>
            <w:r w:rsidRPr="2C6F1548">
              <w:rPr>
                <w:rFonts w:asciiTheme="minorHAnsi" w:hAnsiTheme="minorHAnsi"/>
              </w:rPr>
              <w:t xml:space="preserve"> what is being learned and criteria for success</w:t>
            </w:r>
          </w:p>
          <w:p w14:paraId="6538FB85" w14:textId="77777777" w:rsidR="0003716D" w:rsidRDefault="0003716D" w:rsidP="0003716D">
            <w:pPr>
              <w:pStyle w:val="NoSpacing"/>
              <w:numPr>
                <w:ilvl w:val="0"/>
                <w:numId w:val="6"/>
              </w:numPr>
              <w:spacing w:line="276" w:lineRule="auto"/>
              <w:rPr>
                <w:rFonts w:asciiTheme="minorHAnsi" w:hAnsiTheme="minorHAnsi"/>
              </w:rPr>
            </w:pPr>
            <w:r>
              <w:rPr>
                <w:rFonts w:asciiTheme="minorHAnsi" w:hAnsiTheme="minorHAnsi"/>
              </w:rPr>
              <w:t>Teacher</w:t>
            </w:r>
            <w:r w:rsidRPr="2C6F1548">
              <w:rPr>
                <w:rFonts w:asciiTheme="minorHAnsi" w:hAnsiTheme="minorHAnsi"/>
              </w:rPr>
              <w:t xml:space="preserve"> activate</w:t>
            </w:r>
            <w:r>
              <w:rPr>
                <w:rFonts w:asciiTheme="minorHAnsi" w:hAnsiTheme="minorHAnsi"/>
              </w:rPr>
              <w:t>s</w:t>
            </w:r>
            <w:r w:rsidRPr="2C6F1548">
              <w:rPr>
                <w:rFonts w:asciiTheme="minorHAnsi" w:hAnsiTheme="minorHAnsi"/>
              </w:rPr>
              <w:t xml:space="preserve"> prior knowledge</w:t>
            </w:r>
          </w:p>
          <w:p w14:paraId="561604F1" w14:textId="77777777" w:rsidR="0003716D" w:rsidRDefault="0003716D" w:rsidP="0003716D">
            <w:pPr>
              <w:pStyle w:val="NoSpacing"/>
              <w:numPr>
                <w:ilvl w:val="0"/>
                <w:numId w:val="6"/>
              </w:numPr>
              <w:spacing w:line="276" w:lineRule="auto"/>
              <w:rPr>
                <w:rFonts w:asciiTheme="minorHAnsi" w:hAnsiTheme="minorHAnsi"/>
              </w:rPr>
            </w:pPr>
            <w:r w:rsidRPr="2C6F1548">
              <w:rPr>
                <w:rFonts w:asciiTheme="minorHAnsi" w:hAnsiTheme="minorHAnsi"/>
              </w:rPr>
              <w:t>Teacher utilize</w:t>
            </w:r>
            <w:r>
              <w:rPr>
                <w:rFonts w:asciiTheme="minorHAnsi" w:hAnsiTheme="minorHAnsi"/>
              </w:rPr>
              <w:t>s</w:t>
            </w:r>
            <w:r w:rsidRPr="2C6F1548">
              <w:rPr>
                <w:rFonts w:asciiTheme="minorHAnsi" w:hAnsiTheme="minorHAnsi"/>
              </w:rPr>
              <w:t xml:space="preserve"> reflection activities to cultivate a growth mindset</w:t>
            </w:r>
          </w:p>
          <w:p w14:paraId="25C87369" w14:textId="77777777" w:rsidR="0003716D" w:rsidRDefault="0003716D" w:rsidP="0003716D">
            <w:pPr>
              <w:pStyle w:val="NoSpacing"/>
              <w:numPr>
                <w:ilvl w:val="0"/>
                <w:numId w:val="6"/>
              </w:numPr>
              <w:spacing w:line="276" w:lineRule="auto"/>
              <w:rPr>
                <w:rFonts w:asciiTheme="minorHAnsi" w:hAnsiTheme="minorHAnsi"/>
              </w:rPr>
            </w:pPr>
            <w:r>
              <w:rPr>
                <w:rFonts w:asciiTheme="minorHAnsi" w:hAnsiTheme="minorHAnsi"/>
              </w:rPr>
              <w:t>Teacher</w:t>
            </w:r>
            <w:r w:rsidRPr="2C6F1548">
              <w:rPr>
                <w:rFonts w:asciiTheme="minorHAnsi" w:hAnsiTheme="minorHAnsi"/>
              </w:rPr>
              <w:t xml:space="preserve"> use</w:t>
            </w:r>
            <w:r>
              <w:rPr>
                <w:rFonts w:asciiTheme="minorHAnsi" w:hAnsiTheme="minorHAnsi"/>
              </w:rPr>
              <w:t>s</w:t>
            </w:r>
            <w:r w:rsidRPr="2C6F1548">
              <w:rPr>
                <w:rFonts w:asciiTheme="minorHAnsi" w:hAnsiTheme="minorHAnsi"/>
              </w:rPr>
              <w:t xml:space="preserve"> visible thinking strategies</w:t>
            </w:r>
          </w:p>
          <w:p w14:paraId="16003F2A" w14:textId="77777777" w:rsidR="0003716D" w:rsidRPr="009451CC" w:rsidRDefault="0003716D" w:rsidP="0003716D">
            <w:pPr>
              <w:pStyle w:val="NoSpacing"/>
              <w:numPr>
                <w:ilvl w:val="0"/>
                <w:numId w:val="6"/>
              </w:numPr>
              <w:spacing w:line="276" w:lineRule="auto"/>
              <w:rPr>
                <w:rFonts w:asciiTheme="minorHAnsi" w:hAnsiTheme="minorHAnsi"/>
              </w:rPr>
            </w:pPr>
            <w:r>
              <w:rPr>
                <w:rFonts w:asciiTheme="minorHAnsi" w:hAnsiTheme="minorHAnsi"/>
              </w:rPr>
              <w:t>Teacher</w:t>
            </w:r>
            <w:r w:rsidRPr="2C6F1548">
              <w:rPr>
                <w:rFonts w:asciiTheme="minorHAnsi" w:hAnsiTheme="minorHAnsi"/>
              </w:rPr>
              <w:t xml:space="preserve"> provide</w:t>
            </w:r>
            <w:r>
              <w:rPr>
                <w:rFonts w:asciiTheme="minorHAnsi" w:hAnsiTheme="minorHAnsi"/>
              </w:rPr>
              <w:t>s</w:t>
            </w:r>
            <w:r w:rsidRPr="2C6F1548">
              <w:rPr>
                <w:rFonts w:asciiTheme="minorHAnsi" w:hAnsiTheme="minorHAnsi"/>
              </w:rPr>
              <w:t xml:space="preserve"> opportunities to clarify misconceptions</w:t>
            </w:r>
          </w:p>
          <w:p w14:paraId="2283F4B1" w14:textId="77777777" w:rsidR="0003716D" w:rsidRPr="00D21E4D" w:rsidRDefault="0003716D" w:rsidP="0003716D">
            <w:pPr>
              <w:pStyle w:val="NoSpacing"/>
              <w:numPr>
                <w:ilvl w:val="0"/>
                <w:numId w:val="6"/>
              </w:numPr>
              <w:spacing w:line="276" w:lineRule="auto"/>
              <w:rPr>
                <w:rFonts w:asciiTheme="minorHAnsi" w:hAnsiTheme="minorHAnsi"/>
              </w:rPr>
            </w:pPr>
            <w:r>
              <w:rPr>
                <w:rFonts w:asciiTheme="minorHAnsi" w:hAnsiTheme="minorHAnsi"/>
              </w:rPr>
              <w:t>Teacher</w:t>
            </w:r>
            <w:r w:rsidRPr="2C6F1548">
              <w:rPr>
                <w:rFonts w:asciiTheme="minorHAnsi" w:hAnsiTheme="minorHAnsi"/>
              </w:rPr>
              <w:t xml:space="preserve"> embed</w:t>
            </w:r>
            <w:r>
              <w:rPr>
                <w:rFonts w:asciiTheme="minorHAnsi" w:hAnsiTheme="minorHAnsi"/>
              </w:rPr>
              <w:t>s</w:t>
            </w:r>
            <w:r w:rsidRPr="2C6F1548">
              <w:rPr>
                <w:rFonts w:asciiTheme="minorHAnsi" w:hAnsiTheme="minorHAnsi"/>
              </w:rPr>
              <w:t xml:space="preserve"> time for reflection throughout the day</w:t>
            </w:r>
          </w:p>
          <w:p w14:paraId="3B4EFA40" w14:textId="77777777" w:rsidR="0003716D" w:rsidRDefault="0003716D" w:rsidP="0003716D">
            <w:pPr>
              <w:pStyle w:val="NoSpacing"/>
              <w:numPr>
                <w:ilvl w:val="0"/>
                <w:numId w:val="6"/>
              </w:numPr>
              <w:spacing w:line="276" w:lineRule="auto"/>
              <w:rPr>
                <w:rFonts w:asciiTheme="minorHAnsi" w:hAnsiTheme="minorHAnsi"/>
              </w:rPr>
            </w:pPr>
            <w:r>
              <w:rPr>
                <w:rFonts w:asciiTheme="minorHAnsi" w:hAnsiTheme="minorHAnsi"/>
              </w:rPr>
              <w:t>Teacher</w:t>
            </w:r>
            <w:r w:rsidRPr="2C6F1548">
              <w:rPr>
                <w:rFonts w:asciiTheme="minorHAnsi" w:hAnsiTheme="minorHAnsi"/>
              </w:rPr>
              <w:t xml:space="preserve"> prompts students to reflect on their process/effort</w:t>
            </w:r>
          </w:p>
          <w:p w14:paraId="5FE33BD2" w14:textId="77777777" w:rsidR="0003716D" w:rsidRDefault="0003716D" w:rsidP="0003716D">
            <w:pPr>
              <w:pStyle w:val="NoSpacing"/>
              <w:numPr>
                <w:ilvl w:val="0"/>
                <w:numId w:val="6"/>
              </w:numPr>
              <w:spacing w:line="276" w:lineRule="auto"/>
              <w:rPr>
                <w:rFonts w:asciiTheme="minorHAnsi" w:hAnsiTheme="minorHAnsi"/>
              </w:rPr>
            </w:pPr>
            <w:r>
              <w:rPr>
                <w:rFonts w:asciiTheme="minorHAnsi" w:hAnsiTheme="minorHAnsi"/>
              </w:rPr>
              <w:t>Teacher</w:t>
            </w:r>
            <w:r w:rsidRPr="2C6F1548">
              <w:rPr>
                <w:rFonts w:asciiTheme="minorHAnsi" w:hAnsiTheme="minorHAnsi"/>
              </w:rPr>
              <w:t xml:space="preserve"> utilize</w:t>
            </w:r>
            <w:r>
              <w:rPr>
                <w:rFonts w:asciiTheme="minorHAnsi" w:hAnsiTheme="minorHAnsi"/>
              </w:rPr>
              <w:t>s</w:t>
            </w:r>
            <w:r w:rsidRPr="2C6F1548">
              <w:rPr>
                <w:rFonts w:asciiTheme="minorHAnsi" w:hAnsiTheme="minorHAnsi"/>
              </w:rPr>
              <w:t xml:space="preserve"> reflection activities to inspire students to </w:t>
            </w:r>
            <w:proofErr w:type="gramStart"/>
            <w:r w:rsidRPr="2C6F1548">
              <w:rPr>
                <w:rFonts w:asciiTheme="minorHAnsi" w:hAnsiTheme="minorHAnsi"/>
              </w:rPr>
              <w:t>take action</w:t>
            </w:r>
            <w:proofErr w:type="gramEnd"/>
            <w:r w:rsidRPr="2C6F1548">
              <w:rPr>
                <w:rFonts w:asciiTheme="minorHAnsi" w:hAnsiTheme="minorHAnsi"/>
              </w:rPr>
              <w:t xml:space="preserve"> to better the world</w:t>
            </w:r>
            <w:r>
              <w:rPr>
                <w:rFonts w:asciiTheme="minorHAnsi" w:hAnsiTheme="minorHAnsi"/>
              </w:rPr>
              <w:t xml:space="preserve"> Teacher</w:t>
            </w:r>
            <w:r w:rsidRPr="2C6F1548">
              <w:rPr>
                <w:rFonts w:asciiTheme="minorHAnsi" w:hAnsiTheme="minorHAnsi"/>
              </w:rPr>
              <w:t xml:space="preserve"> give</w:t>
            </w:r>
            <w:r>
              <w:rPr>
                <w:rFonts w:asciiTheme="minorHAnsi" w:hAnsiTheme="minorHAnsi"/>
              </w:rPr>
              <w:t>s</w:t>
            </w:r>
            <w:r w:rsidRPr="2C6F1548">
              <w:rPr>
                <w:rFonts w:asciiTheme="minorHAnsi" w:hAnsiTheme="minorHAnsi"/>
              </w:rPr>
              <w:t xml:space="preserve"> students opportunities to self-assess prior to submitting work assessment</w:t>
            </w:r>
          </w:p>
          <w:p w14:paraId="2B7AC793" w14:textId="3225EA9E" w:rsidR="0003716D" w:rsidRDefault="0003716D" w:rsidP="0003716D">
            <w:pPr>
              <w:pStyle w:val="NoSpacing"/>
              <w:numPr>
                <w:ilvl w:val="0"/>
                <w:numId w:val="6"/>
              </w:numPr>
              <w:spacing w:line="276" w:lineRule="auto"/>
              <w:rPr>
                <w:rFonts w:asciiTheme="minorHAnsi" w:hAnsiTheme="minorHAnsi"/>
              </w:rPr>
            </w:pPr>
            <w:r w:rsidRPr="2C6F1548">
              <w:rPr>
                <w:rFonts w:asciiTheme="minorHAnsi" w:hAnsiTheme="minorHAnsi"/>
              </w:rPr>
              <w:t>Teacher utilize</w:t>
            </w:r>
            <w:r>
              <w:rPr>
                <w:rFonts w:asciiTheme="minorHAnsi" w:hAnsiTheme="minorHAnsi"/>
              </w:rPr>
              <w:t>s</w:t>
            </w:r>
            <w:r w:rsidRPr="2C6F1548">
              <w:rPr>
                <w:rFonts w:asciiTheme="minorHAnsi" w:hAnsiTheme="minorHAnsi"/>
              </w:rPr>
              <w:t xml:space="preserve"> reflection activities to examine how the content relates to students’ </w:t>
            </w:r>
            <w:r>
              <w:rPr>
                <w:rFonts w:asciiTheme="minorHAnsi" w:hAnsiTheme="minorHAnsi"/>
              </w:rPr>
              <w:t>authentic</w:t>
            </w:r>
            <w:r w:rsidRPr="2C6F1548">
              <w:rPr>
                <w:rFonts w:asciiTheme="minorHAnsi" w:hAnsiTheme="minorHAnsi"/>
              </w:rPr>
              <w:t xml:space="preserve"> lives</w:t>
            </w:r>
          </w:p>
          <w:p w14:paraId="2047158A" w14:textId="77777777" w:rsidR="0003716D" w:rsidRPr="00D21E4D" w:rsidRDefault="0003716D" w:rsidP="00582E76">
            <w:pPr>
              <w:pStyle w:val="NoSpacing"/>
              <w:spacing w:line="276" w:lineRule="auto"/>
              <w:ind w:left="360"/>
              <w:rPr>
                <w:rFonts w:asciiTheme="minorHAnsi" w:hAnsiTheme="minorHAnsi"/>
              </w:rPr>
            </w:pPr>
          </w:p>
        </w:tc>
      </w:tr>
    </w:tbl>
    <w:p w14:paraId="7EBC0439" w14:textId="77777777" w:rsidR="0003716D" w:rsidRDefault="0003716D" w:rsidP="008E35E9">
      <w:pPr>
        <w:pStyle w:val="NoSpacing"/>
        <w:spacing w:line="276" w:lineRule="auto"/>
        <w:ind w:right="90"/>
        <w:rPr>
          <w:rFonts w:asciiTheme="minorHAnsi" w:hAnsiTheme="minorHAnsi"/>
          <w:b/>
        </w:rPr>
      </w:pPr>
    </w:p>
    <w:tbl>
      <w:tblPr>
        <w:tblStyle w:val="TableGrid"/>
        <w:tblW w:w="10710" w:type="dxa"/>
        <w:jc w:val="center"/>
        <w:tblLook w:val="04A0" w:firstRow="1" w:lastRow="0" w:firstColumn="1" w:lastColumn="0" w:noHBand="0" w:noVBand="1"/>
      </w:tblPr>
      <w:tblGrid>
        <w:gridCol w:w="10710"/>
      </w:tblGrid>
      <w:tr w:rsidR="009C118B" w:rsidRPr="009C118B" w14:paraId="01807440" w14:textId="77777777" w:rsidTr="005C79A9">
        <w:trPr>
          <w:jc w:val="center"/>
        </w:trPr>
        <w:tc>
          <w:tcPr>
            <w:tcW w:w="10710" w:type="dxa"/>
            <w:shd w:val="clear" w:color="auto" w:fill="FF9966"/>
          </w:tcPr>
          <w:p w14:paraId="3F497E56" w14:textId="77DC453D" w:rsidR="009C118B" w:rsidRPr="009C118B" w:rsidRDefault="009C118B" w:rsidP="005C79A9">
            <w:pPr>
              <w:pStyle w:val="NoSpacing"/>
              <w:spacing w:line="276" w:lineRule="auto"/>
              <w:ind w:right="90"/>
              <w:rPr>
                <w:rFonts w:asciiTheme="minorHAnsi" w:hAnsiTheme="minorHAnsi"/>
                <w:b/>
                <w:bCs/>
                <w:sz w:val="22"/>
                <w:vertAlign w:val="subscript"/>
              </w:rPr>
            </w:pPr>
            <w:r>
              <w:rPr>
                <w:rFonts w:asciiTheme="minorHAnsi" w:hAnsiTheme="minorHAnsi"/>
                <w:b/>
                <w:bCs/>
                <w:sz w:val="22"/>
              </w:rPr>
              <w:t>Possible alignment to Marzano learning map strategies</w:t>
            </w:r>
          </w:p>
        </w:tc>
      </w:tr>
      <w:tr w:rsidR="009C118B" w:rsidRPr="009C118B" w14:paraId="4FB71303" w14:textId="77777777" w:rsidTr="005C79A9">
        <w:trPr>
          <w:jc w:val="center"/>
        </w:trPr>
        <w:tc>
          <w:tcPr>
            <w:tcW w:w="10710" w:type="dxa"/>
          </w:tcPr>
          <w:p w14:paraId="716F61CF" w14:textId="0B362F82" w:rsidR="009C118B" w:rsidRDefault="009C118B" w:rsidP="009C118B">
            <w:pPr>
              <w:pStyle w:val="NoSpacing"/>
              <w:numPr>
                <w:ilvl w:val="0"/>
                <w:numId w:val="5"/>
              </w:numPr>
              <w:ind w:left="337" w:right="90"/>
              <w:rPr>
                <w:rFonts w:asciiTheme="minorHAnsi" w:hAnsiTheme="minorHAnsi"/>
                <w:sz w:val="22"/>
              </w:rPr>
            </w:pPr>
            <w:r>
              <w:rPr>
                <w:rFonts w:asciiTheme="minorHAnsi" w:hAnsiTheme="minorHAnsi"/>
                <w:sz w:val="22"/>
              </w:rPr>
              <w:t>Helping students process content</w:t>
            </w:r>
          </w:p>
          <w:p w14:paraId="29C07F95" w14:textId="77777777" w:rsidR="009C118B" w:rsidRDefault="009C118B" w:rsidP="009C118B">
            <w:pPr>
              <w:pStyle w:val="NoSpacing"/>
              <w:numPr>
                <w:ilvl w:val="0"/>
                <w:numId w:val="5"/>
              </w:numPr>
              <w:ind w:left="337" w:right="90"/>
              <w:rPr>
                <w:rFonts w:asciiTheme="minorHAnsi" w:hAnsiTheme="minorHAnsi"/>
                <w:sz w:val="22"/>
              </w:rPr>
            </w:pPr>
            <w:r>
              <w:rPr>
                <w:rFonts w:asciiTheme="minorHAnsi" w:hAnsiTheme="minorHAnsi"/>
                <w:sz w:val="22"/>
              </w:rPr>
              <w:t>Helping students elaborate on content</w:t>
            </w:r>
          </w:p>
          <w:p w14:paraId="53E4CA6A" w14:textId="77777777" w:rsidR="009C118B" w:rsidRDefault="009C118B" w:rsidP="009C118B">
            <w:pPr>
              <w:pStyle w:val="NoSpacing"/>
              <w:numPr>
                <w:ilvl w:val="0"/>
                <w:numId w:val="5"/>
              </w:numPr>
              <w:ind w:left="337" w:right="90"/>
              <w:rPr>
                <w:rFonts w:asciiTheme="minorHAnsi" w:hAnsiTheme="minorHAnsi"/>
                <w:sz w:val="22"/>
              </w:rPr>
            </w:pPr>
            <w:r>
              <w:rPr>
                <w:rFonts w:asciiTheme="minorHAnsi" w:hAnsiTheme="minorHAnsi"/>
                <w:sz w:val="22"/>
              </w:rPr>
              <w:t>Helping students practice skills, strategies and processes</w:t>
            </w:r>
          </w:p>
          <w:p w14:paraId="37F867E8" w14:textId="38C95064" w:rsidR="009C118B" w:rsidRPr="009C118B" w:rsidRDefault="009C118B" w:rsidP="009C118B">
            <w:pPr>
              <w:pStyle w:val="NoSpacing"/>
              <w:numPr>
                <w:ilvl w:val="0"/>
                <w:numId w:val="5"/>
              </w:numPr>
              <w:ind w:left="337" w:right="90"/>
              <w:rPr>
                <w:rFonts w:asciiTheme="minorHAnsi" w:hAnsiTheme="minorHAnsi"/>
                <w:sz w:val="22"/>
              </w:rPr>
            </w:pPr>
            <w:r>
              <w:rPr>
                <w:rFonts w:asciiTheme="minorHAnsi" w:hAnsiTheme="minorHAnsi"/>
                <w:sz w:val="22"/>
              </w:rPr>
              <w:t>Helping students revise knowledge</w:t>
            </w:r>
          </w:p>
        </w:tc>
      </w:tr>
    </w:tbl>
    <w:p w14:paraId="0D4B9EC9" w14:textId="77777777" w:rsidR="00C4003E" w:rsidRPr="005202AB" w:rsidRDefault="00C4003E" w:rsidP="008E35E9">
      <w:pPr>
        <w:pStyle w:val="NoSpacing"/>
        <w:spacing w:line="276" w:lineRule="auto"/>
        <w:ind w:right="90"/>
        <w:rPr>
          <w:rFonts w:asciiTheme="minorHAnsi" w:hAnsiTheme="minorHAnsi"/>
          <w:b/>
        </w:rPr>
      </w:pPr>
    </w:p>
    <w:tbl>
      <w:tblPr>
        <w:tblStyle w:val="TableGrid"/>
        <w:tblW w:w="0" w:type="auto"/>
        <w:jc w:val="center"/>
        <w:tblLook w:val="04A0" w:firstRow="1" w:lastRow="0" w:firstColumn="1" w:lastColumn="0" w:noHBand="0" w:noVBand="1"/>
      </w:tblPr>
      <w:tblGrid>
        <w:gridCol w:w="2938"/>
        <w:gridCol w:w="2386"/>
        <w:gridCol w:w="2675"/>
        <w:gridCol w:w="2791"/>
      </w:tblGrid>
      <w:tr w:rsidR="009C118B" w:rsidRPr="009C118B" w14:paraId="496A7253" w14:textId="77777777" w:rsidTr="009C118B">
        <w:trPr>
          <w:jc w:val="center"/>
        </w:trPr>
        <w:tc>
          <w:tcPr>
            <w:tcW w:w="0" w:type="auto"/>
            <w:gridSpan w:val="4"/>
            <w:shd w:val="clear" w:color="auto" w:fill="FF9966"/>
            <w:vAlign w:val="center"/>
          </w:tcPr>
          <w:p w14:paraId="217CBCF9" w14:textId="49D3BB4F" w:rsidR="009C118B" w:rsidRPr="009C118B" w:rsidRDefault="009C118B" w:rsidP="009C118B">
            <w:pPr>
              <w:pStyle w:val="NoSpacing"/>
              <w:ind w:right="90"/>
              <w:rPr>
                <w:rFonts w:asciiTheme="minorHAnsi" w:hAnsiTheme="minorHAnsi"/>
                <w:sz w:val="22"/>
              </w:rPr>
            </w:pPr>
            <w:r w:rsidRPr="009C118B">
              <w:rPr>
                <w:rFonts w:asciiTheme="minorHAnsi" w:hAnsiTheme="minorHAnsi"/>
                <w:b/>
                <w:bCs/>
                <w:sz w:val="22"/>
              </w:rPr>
              <w:t>What do I typically do to engage students in reflecting</w:t>
            </w:r>
            <w:r w:rsidRPr="009C118B">
              <w:rPr>
                <w:rFonts w:asciiTheme="minorHAnsi" w:hAnsiTheme="minorHAnsi"/>
                <w:sz w:val="22"/>
              </w:rPr>
              <w:t xml:space="preserve"> </w:t>
            </w:r>
            <w:r w:rsidRPr="009C118B">
              <w:rPr>
                <w:rFonts w:asciiTheme="minorHAnsi" w:hAnsiTheme="minorHAnsi"/>
                <w:b/>
                <w:bCs/>
                <w:sz w:val="22"/>
              </w:rPr>
              <w:t>on how, what and why they are learning</w:t>
            </w:r>
            <w:r w:rsidRPr="009C118B">
              <w:rPr>
                <w:rFonts w:asciiTheme="minorHAnsi" w:hAnsiTheme="minorHAnsi"/>
                <w:sz w:val="22"/>
              </w:rPr>
              <w:t>?</w:t>
            </w:r>
          </w:p>
        </w:tc>
      </w:tr>
      <w:tr w:rsidR="009C118B" w:rsidRPr="009C118B" w14:paraId="108422EA" w14:textId="77777777" w:rsidTr="009C118B">
        <w:trPr>
          <w:jc w:val="center"/>
        </w:trPr>
        <w:tc>
          <w:tcPr>
            <w:tcW w:w="0" w:type="auto"/>
            <w:shd w:val="clear" w:color="auto" w:fill="FBE4D5" w:themeFill="accent2" w:themeFillTint="33"/>
          </w:tcPr>
          <w:p w14:paraId="4202F6AE" w14:textId="77777777" w:rsidR="009C118B" w:rsidRPr="009C118B" w:rsidRDefault="009C118B" w:rsidP="008E35E9">
            <w:pPr>
              <w:pStyle w:val="NoSpacing"/>
              <w:ind w:right="90"/>
              <w:jc w:val="center"/>
              <w:rPr>
                <w:rFonts w:asciiTheme="minorHAnsi" w:hAnsiTheme="minorHAnsi"/>
                <w:sz w:val="22"/>
              </w:rPr>
            </w:pPr>
            <w:r w:rsidRPr="009C118B">
              <w:rPr>
                <w:rFonts w:asciiTheme="minorHAnsi" w:hAnsiTheme="minorHAnsi"/>
                <w:sz w:val="22"/>
              </w:rPr>
              <w:t>Learn</w:t>
            </w:r>
          </w:p>
        </w:tc>
        <w:tc>
          <w:tcPr>
            <w:tcW w:w="0" w:type="auto"/>
            <w:shd w:val="clear" w:color="auto" w:fill="FBE4D5" w:themeFill="accent2" w:themeFillTint="33"/>
          </w:tcPr>
          <w:p w14:paraId="06BE3C4B" w14:textId="77777777" w:rsidR="009C118B" w:rsidRPr="009C118B" w:rsidRDefault="009C118B" w:rsidP="008E35E9">
            <w:pPr>
              <w:pStyle w:val="NoSpacing"/>
              <w:ind w:right="90"/>
              <w:jc w:val="center"/>
              <w:rPr>
                <w:rFonts w:asciiTheme="minorHAnsi" w:hAnsiTheme="minorHAnsi"/>
                <w:sz w:val="22"/>
              </w:rPr>
            </w:pPr>
            <w:r w:rsidRPr="009C118B">
              <w:rPr>
                <w:rFonts w:asciiTheme="minorHAnsi" w:hAnsiTheme="minorHAnsi"/>
                <w:sz w:val="22"/>
              </w:rPr>
              <w:t>Implement</w:t>
            </w:r>
          </w:p>
        </w:tc>
        <w:tc>
          <w:tcPr>
            <w:tcW w:w="0" w:type="auto"/>
            <w:shd w:val="clear" w:color="auto" w:fill="FBE4D5" w:themeFill="accent2" w:themeFillTint="33"/>
          </w:tcPr>
          <w:p w14:paraId="4B1BBCDF" w14:textId="77777777" w:rsidR="009C118B" w:rsidRPr="009C118B" w:rsidRDefault="009C118B" w:rsidP="008E35E9">
            <w:pPr>
              <w:pStyle w:val="NoSpacing"/>
              <w:ind w:right="90"/>
              <w:jc w:val="center"/>
              <w:rPr>
                <w:rFonts w:asciiTheme="minorHAnsi" w:hAnsiTheme="minorHAnsi"/>
                <w:sz w:val="22"/>
              </w:rPr>
            </w:pPr>
            <w:r w:rsidRPr="009C118B">
              <w:rPr>
                <w:rFonts w:asciiTheme="minorHAnsi" w:hAnsiTheme="minorHAnsi"/>
                <w:sz w:val="22"/>
              </w:rPr>
              <w:t>Monitor</w:t>
            </w:r>
          </w:p>
        </w:tc>
        <w:tc>
          <w:tcPr>
            <w:tcW w:w="0" w:type="auto"/>
            <w:shd w:val="clear" w:color="auto" w:fill="FBE4D5" w:themeFill="accent2" w:themeFillTint="33"/>
          </w:tcPr>
          <w:p w14:paraId="022996A0" w14:textId="77777777" w:rsidR="009C118B" w:rsidRPr="009C118B" w:rsidRDefault="009C118B" w:rsidP="008E35E9">
            <w:pPr>
              <w:pStyle w:val="NoSpacing"/>
              <w:ind w:right="90"/>
              <w:jc w:val="center"/>
              <w:rPr>
                <w:rFonts w:asciiTheme="minorHAnsi" w:hAnsiTheme="minorHAnsi"/>
                <w:sz w:val="22"/>
              </w:rPr>
            </w:pPr>
            <w:r w:rsidRPr="009C118B">
              <w:rPr>
                <w:rFonts w:asciiTheme="minorHAnsi" w:hAnsiTheme="minorHAnsi"/>
                <w:sz w:val="22"/>
              </w:rPr>
              <w:t>Impact</w:t>
            </w:r>
          </w:p>
        </w:tc>
      </w:tr>
      <w:tr w:rsidR="009C118B" w:rsidRPr="009C118B" w14:paraId="26EC088B" w14:textId="77777777" w:rsidTr="009C118B">
        <w:trPr>
          <w:jc w:val="center"/>
        </w:trPr>
        <w:tc>
          <w:tcPr>
            <w:tcW w:w="0" w:type="auto"/>
          </w:tcPr>
          <w:p w14:paraId="73C99679" w14:textId="434EE836" w:rsidR="009C118B" w:rsidRPr="009C118B" w:rsidRDefault="009C118B" w:rsidP="008E35E9">
            <w:pPr>
              <w:pStyle w:val="NoSpacing"/>
              <w:ind w:right="90"/>
              <w:rPr>
                <w:rFonts w:asciiTheme="minorHAnsi" w:hAnsiTheme="minorHAnsi"/>
                <w:sz w:val="22"/>
              </w:rPr>
            </w:pPr>
            <w:r w:rsidRPr="009C118B">
              <w:rPr>
                <w:rFonts w:asciiTheme="minorHAnsi" w:hAnsiTheme="minorHAnsi"/>
                <w:sz w:val="22"/>
              </w:rPr>
              <w:t xml:space="preserve">Understand how to employ a variety of techniques to </w:t>
            </w:r>
            <w:r w:rsidRPr="009C118B">
              <w:rPr>
                <w:rFonts w:asciiTheme="minorHAnsi" w:hAnsiTheme="minorHAnsi"/>
                <w:bCs/>
                <w:sz w:val="22"/>
              </w:rPr>
              <w:t>engage students in reflecting on how, what and why they are learning</w:t>
            </w:r>
          </w:p>
        </w:tc>
        <w:tc>
          <w:tcPr>
            <w:tcW w:w="0" w:type="auto"/>
          </w:tcPr>
          <w:p w14:paraId="179E8663" w14:textId="0F10E22A" w:rsidR="009C118B" w:rsidRPr="009C118B" w:rsidRDefault="009C118B" w:rsidP="008E35E9">
            <w:pPr>
              <w:pStyle w:val="NoSpacing"/>
              <w:ind w:right="90"/>
              <w:rPr>
                <w:rFonts w:asciiTheme="minorHAnsi" w:hAnsiTheme="minorHAnsi"/>
                <w:sz w:val="22"/>
              </w:rPr>
            </w:pPr>
            <w:r w:rsidRPr="009C118B">
              <w:rPr>
                <w:rFonts w:asciiTheme="minorHAnsi" w:hAnsiTheme="minorHAnsi"/>
                <w:bCs/>
                <w:sz w:val="22"/>
              </w:rPr>
              <w:t>Engage students in reflecting on how, what and why they are learning (teacher evidence)</w:t>
            </w:r>
          </w:p>
        </w:tc>
        <w:tc>
          <w:tcPr>
            <w:tcW w:w="0" w:type="auto"/>
          </w:tcPr>
          <w:p w14:paraId="37964321" w14:textId="3374ACEF" w:rsidR="009C118B" w:rsidRPr="009C118B" w:rsidRDefault="009C118B" w:rsidP="008E35E9">
            <w:pPr>
              <w:pStyle w:val="NoSpacing"/>
              <w:ind w:right="90"/>
              <w:rPr>
                <w:rFonts w:asciiTheme="minorHAnsi" w:hAnsiTheme="minorHAnsi"/>
                <w:sz w:val="22"/>
              </w:rPr>
            </w:pPr>
            <w:r w:rsidRPr="009C118B">
              <w:rPr>
                <w:rFonts w:asciiTheme="minorHAnsi" w:hAnsiTheme="minorHAnsi"/>
                <w:bCs/>
                <w:sz w:val="22"/>
              </w:rPr>
              <w:t>Check for evidence that all students engage in reflecting on how, what and why they are learning (student evidence)</w:t>
            </w:r>
          </w:p>
        </w:tc>
        <w:tc>
          <w:tcPr>
            <w:tcW w:w="0" w:type="auto"/>
          </w:tcPr>
          <w:p w14:paraId="1A9A278D" w14:textId="1B1A4380" w:rsidR="009C118B" w:rsidRPr="009C118B" w:rsidRDefault="009C118B" w:rsidP="008E35E9">
            <w:pPr>
              <w:pStyle w:val="NoSpacing"/>
              <w:ind w:right="90"/>
              <w:rPr>
                <w:rFonts w:asciiTheme="minorHAnsi" w:hAnsiTheme="minorHAnsi"/>
                <w:sz w:val="22"/>
              </w:rPr>
            </w:pPr>
            <w:r w:rsidRPr="009C118B">
              <w:rPr>
                <w:rFonts w:asciiTheme="minorHAnsi" w:hAnsiTheme="minorHAnsi"/>
                <w:sz w:val="22"/>
              </w:rPr>
              <w:t>Adapt techniques so that all students engage in reflecting on how, what and why they are learning (student evidence)</w:t>
            </w:r>
          </w:p>
        </w:tc>
      </w:tr>
    </w:tbl>
    <w:p w14:paraId="1BCFD214" w14:textId="77777777" w:rsidR="009C118B" w:rsidRDefault="009C118B" w:rsidP="008E35E9">
      <w:pPr>
        <w:pStyle w:val="NoSpacing"/>
        <w:ind w:right="90"/>
        <w:rPr>
          <w:rFonts w:asciiTheme="minorHAnsi" w:hAnsiTheme="minorHAnsi"/>
          <w:b/>
          <w:bCs/>
        </w:rPr>
      </w:pPr>
      <w:bookmarkStart w:id="0" w:name="_GoBack"/>
      <w:bookmarkEnd w:id="0"/>
    </w:p>
    <w:p w14:paraId="56FA546E" w14:textId="0C5BE47E" w:rsidR="00C4003E" w:rsidRPr="009D53B6" w:rsidRDefault="2C6F1548" w:rsidP="008E35E9">
      <w:pPr>
        <w:pStyle w:val="NoSpacing"/>
        <w:ind w:right="90"/>
        <w:rPr>
          <w:rFonts w:asciiTheme="minorHAnsi" w:hAnsiTheme="minorHAnsi"/>
          <w:b/>
          <w:bCs/>
        </w:rPr>
      </w:pPr>
      <w:r w:rsidRPr="2C6F1548">
        <w:rPr>
          <w:rFonts w:asciiTheme="minorHAnsi" w:hAnsiTheme="minorHAnsi"/>
          <w:b/>
          <w:bCs/>
        </w:rPr>
        <w:t>Reflection</w:t>
      </w:r>
    </w:p>
    <w:tbl>
      <w:tblPr>
        <w:tblStyle w:val="TableGrid"/>
        <w:tblW w:w="10710" w:type="dxa"/>
        <w:jc w:val="center"/>
        <w:tblLayout w:type="fixed"/>
        <w:tblLook w:val="04A0" w:firstRow="1" w:lastRow="0" w:firstColumn="1" w:lastColumn="0" w:noHBand="0" w:noVBand="1"/>
      </w:tblPr>
      <w:tblGrid>
        <w:gridCol w:w="2065"/>
        <w:gridCol w:w="4320"/>
        <w:gridCol w:w="4325"/>
      </w:tblGrid>
      <w:tr w:rsidR="00C4003E" w:rsidRPr="009D53B6" w14:paraId="79253672" w14:textId="77777777" w:rsidTr="001410CC">
        <w:trPr>
          <w:jc w:val="center"/>
        </w:trPr>
        <w:tc>
          <w:tcPr>
            <w:tcW w:w="2065" w:type="dxa"/>
            <w:vMerge w:val="restart"/>
            <w:shd w:val="clear" w:color="auto" w:fill="FF9966"/>
          </w:tcPr>
          <w:p w14:paraId="5C85E064" w14:textId="158BDA00" w:rsidR="00C4003E" w:rsidRPr="009D53B6" w:rsidRDefault="2C6F1548" w:rsidP="008E35E9">
            <w:pPr>
              <w:pStyle w:val="NoSpacing"/>
              <w:ind w:right="90"/>
              <w:rPr>
                <w:rFonts w:asciiTheme="minorHAnsi" w:hAnsiTheme="minorHAnsi"/>
              </w:rPr>
            </w:pPr>
            <w:r w:rsidRPr="2C6F1548">
              <w:rPr>
                <w:rFonts w:asciiTheme="minorHAnsi" w:hAnsiTheme="minorHAnsi"/>
                <w:b/>
                <w:bCs/>
              </w:rPr>
              <w:t>What do I typically do to engage students in reflecting</w:t>
            </w:r>
            <w:r w:rsidRPr="2C6F1548">
              <w:rPr>
                <w:rFonts w:asciiTheme="minorHAnsi" w:hAnsiTheme="minorHAnsi"/>
              </w:rPr>
              <w:t xml:space="preserve"> </w:t>
            </w:r>
            <w:r w:rsidRPr="2C6F1548">
              <w:rPr>
                <w:rFonts w:asciiTheme="minorHAnsi" w:hAnsiTheme="minorHAnsi"/>
                <w:b/>
                <w:bCs/>
              </w:rPr>
              <w:t>on how, what and why they are learning</w:t>
            </w:r>
            <w:r w:rsidRPr="2C6F1548">
              <w:rPr>
                <w:rFonts w:asciiTheme="minorHAnsi" w:hAnsiTheme="minorHAnsi"/>
              </w:rPr>
              <w:t>?</w:t>
            </w:r>
          </w:p>
        </w:tc>
        <w:tc>
          <w:tcPr>
            <w:tcW w:w="4320" w:type="dxa"/>
            <w:shd w:val="clear" w:color="auto" w:fill="FF9966"/>
          </w:tcPr>
          <w:p w14:paraId="16FE53C4" w14:textId="4C4460DB" w:rsidR="00C4003E" w:rsidRPr="009D53B6" w:rsidRDefault="2C6F1548" w:rsidP="008E35E9">
            <w:pPr>
              <w:pStyle w:val="NoSpacing"/>
              <w:ind w:right="90"/>
              <w:rPr>
                <w:rFonts w:asciiTheme="minorHAnsi" w:hAnsiTheme="minorHAnsi"/>
              </w:rPr>
            </w:pPr>
            <w:r w:rsidRPr="2C6F1548">
              <w:rPr>
                <w:rFonts w:asciiTheme="minorHAnsi" w:hAnsiTheme="minorHAnsi"/>
              </w:rPr>
              <w:t xml:space="preserve">How did the reflection </w:t>
            </w:r>
            <w:r w:rsidR="0003716D">
              <w:rPr>
                <w:rFonts w:asciiTheme="minorHAnsi" w:hAnsiTheme="minorHAnsi"/>
              </w:rPr>
              <w:t>engagements</w:t>
            </w:r>
            <w:r w:rsidRPr="2C6F1548">
              <w:rPr>
                <w:rFonts w:asciiTheme="minorHAnsi" w:hAnsiTheme="minorHAnsi"/>
              </w:rPr>
              <w:t xml:space="preserve"> deepen student learning?</w:t>
            </w:r>
          </w:p>
        </w:tc>
        <w:tc>
          <w:tcPr>
            <w:tcW w:w="4325" w:type="dxa"/>
            <w:tcBorders>
              <w:bottom w:val="single" w:sz="4" w:space="0" w:color="auto"/>
            </w:tcBorders>
            <w:shd w:val="clear" w:color="auto" w:fill="FF9966"/>
          </w:tcPr>
          <w:p w14:paraId="35E04E36" w14:textId="77777777" w:rsidR="00C4003E" w:rsidRPr="009D53B6" w:rsidRDefault="2C6F1548" w:rsidP="008E35E9">
            <w:pPr>
              <w:pStyle w:val="NoSpacing"/>
              <w:ind w:right="90"/>
              <w:rPr>
                <w:rFonts w:asciiTheme="minorHAnsi" w:hAnsiTheme="minorHAnsi"/>
              </w:rPr>
            </w:pPr>
            <w:r w:rsidRPr="2C6F1548">
              <w:rPr>
                <w:rFonts w:asciiTheme="minorHAnsi" w:hAnsiTheme="minorHAnsi"/>
              </w:rPr>
              <w:t>What next steps will support you in deepening this practice?</w:t>
            </w:r>
          </w:p>
        </w:tc>
      </w:tr>
      <w:tr w:rsidR="00C4003E" w:rsidRPr="009D53B6" w14:paraId="1F9CC906" w14:textId="77777777" w:rsidTr="2C6F1548">
        <w:trPr>
          <w:jc w:val="center"/>
        </w:trPr>
        <w:tc>
          <w:tcPr>
            <w:tcW w:w="2065" w:type="dxa"/>
            <w:vMerge/>
            <w:shd w:val="clear" w:color="auto" w:fill="DEEAF6" w:themeFill="accent1" w:themeFillTint="33"/>
          </w:tcPr>
          <w:p w14:paraId="23A6A289" w14:textId="77777777" w:rsidR="00C4003E" w:rsidRPr="009D53B6" w:rsidRDefault="00C4003E" w:rsidP="008E35E9">
            <w:pPr>
              <w:pStyle w:val="NoSpacing"/>
              <w:ind w:right="90"/>
              <w:rPr>
                <w:rFonts w:asciiTheme="minorHAnsi" w:hAnsiTheme="minorHAnsi"/>
                <w:b/>
              </w:rPr>
            </w:pPr>
          </w:p>
        </w:tc>
        <w:tc>
          <w:tcPr>
            <w:tcW w:w="4320" w:type="dxa"/>
            <w:shd w:val="clear" w:color="auto" w:fill="FFFFFF" w:themeFill="background1"/>
          </w:tcPr>
          <w:p w14:paraId="4AB623A2" w14:textId="77777777" w:rsidR="00C4003E" w:rsidRPr="009D53B6" w:rsidRDefault="00C4003E" w:rsidP="008E35E9">
            <w:pPr>
              <w:pStyle w:val="NoSpacing"/>
              <w:ind w:right="90"/>
              <w:rPr>
                <w:rFonts w:asciiTheme="minorHAnsi" w:hAnsiTheme="minorHAnsi"/>
              </w:rPr>
            </w:pPr>
          </w:p>
          <w:p w14:paraId="4881CABA" w14:textId="77777777" w:rsidR="00C4003E" w:rsidRPr="009D53B6" w:rsidRDefault="00C4003E" w:rsidP="008E35E9">
            <w:pPr>
              <w:pStyle w:val="NoSpacing"/>
              <w:ind w:right="90"/>
              <w:rPr>
                <w:rFonts w:asciiTheme="minorHAnsi" w:hAnsiTheme="minorHAnsi"/>
              </w:rPr>
            </w:pPr>
          </w:p>
          <w:p w14:paraId="364B2959" w14:textId="77777777" w:rsidR="00C4003E" w:rsidRPr="009D53B6" w:rsidRDefault="00C4003E" w:rsidP="008E35E9">
            <w:pPr>
              <w:pStyle w:val="NoSpacing"/>
              <w:ind w:right="90"/>
              <w:rPr>
                <w:rFonts w:asciiTheme="minorHAnsi" w:hAnsiTheme="minorHAnsi"/>
              </w:rPr>
            </w:pPr>
          </w:p>
          <w:p w14:paraId="7C7E04C2" w14:textId="77777777" w:rsidR="00C4003E" w:rsidRPr="009D53B6" w:rsidRDefault="00C4003E" w:rsidP="008E35E9">
            <w:pPr>
              <w:pStyle w:val="NoSpacing"/>
              <w:ind w:right="90"/>
              <w:rPr>
                <w:rFonts w:asciiTheme="minorHAnsi" w:hAnsiTheme="minorHAnsi"/>
              </w:rPr>
            </w:pPr>
          </w:p>
          <w:p w14:paraId="098986FB" w14:textId="77777777" w:rsidR="00C4003E" w:rsidRPr="009D53B6" w:rsidRDefault="00C4003E" w:rsidP="008E35E9">
            <w:pPr>
              <w:pStyle w:val="NoSpacing"/>
              <w:ind w:right="90"/>
              <w:rPr>
                <w:rFonts w:asciiTheme="minorHAnsi" w:hAnsiTheme="minorHAnsi"/>
              </w:rPr>
            </w:pPr>
          </w:p>
          <w:p w14:paraId="7C0C1270" w14:textId="77777777" w:rsidR="00C4003E" w:rsidRPr="009D53B6" w:rsidRDefault="00C4003E" w:rsidP="008E35E9">
            <w:pPr>
              <w:pStyle w:val="NoSpacing"/>
              <w:ind w:right="90"/>
              <w:rPr>
                <w:rFonts w:asciiTheme="minorHAnsi" w:hAnsiTheme="minorHAnsi"/>
              </w:rPr>
            </w:pPr>
          </w:p>
          <w:p w14:paraId="762C48EC" w14:textId="77777777" w:rsidR="00C4003E" w:rsidRPr="009D53B6" w:rsidRDefault="00C4003E" w:rsidP="008E35E9">
            <w:pPr>
              <w:pStyle w:val="NoSpacing"/>
              <w:ind w:right="90"/>
              <w:rPr>
                <w:rFonts w:asciiTheme="minorHAnsi" w:hAnsiTheme="minorHAnsi"/>
              </w:rPr>
            </w:pPr>
          </w:p>
          <w:p w14:paraId="1BF677DA" w14:textId="77777777" w:rsidR="00C4003E" w:rsidRPr="009D53B6" w:rsidRDefault="00C4003E" w:rsidP="008E35E9">
            <w:pPr>
              <w:pStyle w:val="NoSpacing"/>
              <w:ind w:right="90"/>
              <w:rPr>
                <w:rFonts w:asciiTheme="minorHAnsi" w:hAnsiTheme="minorHAnsi"/>
              </w:rPr>
            </w:pPr>
          </w:p>
          <w:p w14:paraId="5960B23F" w14:textId="77777777" w:rsidR="00C4003E" w:rsidRPr="009D53B6" w:rsidRDefault="00C4003E" w:rsidP="008E35E9">
            <w:pPr>
              <w:pStyle w:val="NoSpacing"/>
              <w:ind w:right="90"/>
              <w:rPr>
                <w:rFonts w:asciiTheme="minorHAnsi" w:hAnsiTheme="minorHAnsi"/>
              </w:rPr>
            </w:pPr>
          </w:p>
          <w:p w14:paraId="6DA302BC" w14:textId="77777777" w:rsidR="00C4003E" w:rsidRPr="009D53B6" w:rsidRDefault="00C4003E" w:rsidP="008E35E9">
            <w:pPr>
              <w:pStyle w:val="NoSpacing"/>
              <w:ind w:right="90"/>
              <w:rPr>
                <w:rFonts w:asciiTheme="minorHAnsi" w:hAnsiTheme="minorHAnsi"/>
              </w:rPr>
            </w:pPr>
          </w:p>
          <w:p w14:paraId="21ACDD0F" w14:textId="77777777" w:rsidR="00C4003E" w:rsidRPr="009D53B6" w:rsidRDefault="00C4003E" w:rsidP="008E35E9">
            <w:pPr>
              <w:pStyle w:val="NoSpacing"/>
              <w:ind w:right="90"/>
              <w:rPr>
                <w:rFonts w:asciiTheme="minorHAnsi" w:hAnsiTheme="minorHAnsi"/>
              </w:rPr>
            </w:pPr>
          </w:p>
        </w:tc>
        <w:tc>
          <w:tcPr>
            <w:tcW w:w="4325" w:type="dxa"/>
            <w:shd w:val="clear" w:color="auto" w:fill="FFFFFF" w:themeFill="background1"/>
          </w:tcPr>
          <w:p w14:paraId="7FA95E8A" w14:textId="77777777" w:rsidR="00C4003E" w:rsidRPr="009D53B6" w:rsidRDefault="00C4003E" w:rsidP="008E35E9">
            <w:pPr>
              <w:pStyle w:val="NoSpacing"/>
              <w:ind w:right="90"/>
              <w:rPr>
                <w:rFonts w:asciiTheme="minorHAnsi" w:hAnsiTheme="minorHAnsi"/>
              </w:rPr>
            </w:pPr>
          </w:p>
        </w:tc>
      </w:tr>
    </w:tbl>
    <w:p w14:paraId="5CD8AC71" w14:textId="77777777" w:rsidR="009D53B6" w:rsidRPr="009D53B6" w:rsidRDefault="009D53B6" w:rsidP="008E35E9">
      <w:pPr>
        <w:pStyle w:val="NoSpacing"/>
        <w:ind w:right="90"/>
        <w:rPr>
          <w:rFonts w:asciiTheme="minorHAnsi" w:hAnsiTheme="minorHAnsi"/>
          <w:b/>
        </w:rPr>
      </w:pPr>
    </w:p>
    <w:p w14:paraId="7F5C4CE7" w14:textId="514D1522" w:rsidR="00C4003E" w:rsidRPr="009D53B6" w:rsidRDefault="2C6F1548" w:rsidP="008E35E9">
      <w:pPr>
        <w:pStyle w:val="NoSpacing"/>
        <w:ind w:right="90"/>
        <w:rPr>
          <w:rFonts w:asciiTheme="minorHAnsi" w:hAnsiTheme="minorHAnsi"/>
          <w:b/>
          <w:bCs/>
        </w:rPr>
      </w:pPr>
      <w:r w:rsidRPr="2C6F1548">
        <w:rPr>
          <w:rFonts w:asciiTheme="minorHAnsi" w:hAnsiTheme="minorHAnsi"/>
          <w:b/>
          <w:bCs/>
        </w:rPr>
        <w:t>Strategies to engage students in reflection</w:t>
      </w:r>
    </w:p>
    <w:tbl>
      <w:tblPr>
        <w:tblStyle w:val="TableGrid"/>
        <w:tblW w:w="10705" w:type="dxa"/>
        <w:jc w:val="center"/>
        <w:tblLook w:val="04A0" w:firstRow="1" w:lastRow="0" w:firstColumn="1" w:lastColumn="0" w:noHBand="0" w:noVBand="1"/>
      </w:tblPr>
      <w:tblGrid>
        <w:gridCol w:w="1795"/>
        <w:gridCol w:w="8910"/>
      </w:tblGrid>
      <w:tr w:rsidR="00C4003E" w:rsidRPr="009D53B6" w14:paraId="41A1199F" w14:textId="77777777" w:rsidTr="001410CC">
        <w:trPr>
          <w:trHeight w:val="1125"/>
          <w:jc w:val="center"/>
        </w:trPr>
        <w:tc>
          <w:tcPr>
            <w:tcW w:w="1795" w:type="dxa"/>
            <w:shd w:val="clear" w:color="auto" w:fill="FF9966"/>
            <w:vAlign w:val="center"/>
          </w:tcPr>
          <w:p w14:paraId="12FF42AA" w14:textId="77777777" w:rsidR="00C4003E" w:rsidRPr="009D53B6" w:rsidRDefault="00C4003E" w:rsidP="008E35E9">
            <w:pPr>
              <w:pStyle w:val="NoSpacing"/>
              <w:ind w:right="90"/>
              <w:rPr>
                <w:rFonts w:asciiTheme="minorHAnsi" w:hAnsiTheme="minorHAnsi"/>
                <w:b/>
                <w:color w:val="000000" w:themeColor="text1"/>
              </w:rPr>
            </w:pPr>
          </w:p>
        </w:tc>
        <w:tc>
          <w:tcPr>
            <w:tcW w:w="8910" w:type="dxa"/>
          </w:tcPr>
          <w:p w14:paraId="65AD3A43" w14:textId="77777777" w:rsidR="00C4003E" w:rsidRPr="009D53B6" w:rsidRDefault="00C4003E" w:rsidP="008E35E9">
            <w:pPr>
              <w:pStyle w:val="NoSpacing"/>
              <w:ind w:right="90"/>
              <w:rPr>
                <w:rFonts w:asciiTheme="minorHAnsi" w:hAnsiTheme="minorHAnsi"/>
              </w:rPr>
            </w:pPr>
          </w:p>
        </w:tc>
      </w:tr>
      <w:tr w:rsidR="009D53B6" w:rsidRPr="009D53B6" w14:paraId="06902A69" w14:textId="77777777" w:rsidTr="001410CC">
        <w:trPr>
          <w:trHeight w:val="1125"/>
          <w:jc w:val="center"/>
        </w:trPr>
        <w:tc>
          <w:tcPr>
            <w:tcW w:w="1795" w:type="dxa"/>
            <w:shd w:val="clear" w:color="auto" w:fill="FF9966"/>
            <w:vAlign w:val="center"/>
          </w:tcPr>
          <w:p w14:paraId="5C60B736" w14:textId="77777777" w:rsidR="009D53B6" w:rsidRPr="009D53B6" w:rsidRDefault="009D53B6" w:rsidP="008E35E9">
            <w:pPr>
              <w:pStyle w:val="NoSpacing"/>
              <w:ind w:right="90"/>
              <w:rPr>
                <w:rFonts w:asciiTheme="minorHAnsi" w:hAnsiTheme="minorHAnsi"/>
                <w:b/>
                <w:color w:val="000000" w:themeColor="text1"/>
              </w:rPr>
            </w:pPr>
          </w:p>
        </w:tc>
        <w:tc>
          <w:tcPr>
            <w:tcW w:w="8910" w:type="dxa"/>
          </w:tcPr>
          <w:p w14:paraId="05617347" w14:textId="77777777" w:rsidR="009D53B6" w:rsidRPr="009D53B6" w:rsidRDefault="009D53B6" w:rsidP="008E35E9">
            <w:pPr>
              <w:pStyle w:val="NoSpacing"/>
              <w:ind w:right="90"/>
              <w:rPr>
                <w:rFonts w:asciiTheme="minorHAnsi" w:hAnsiTheme="minorHAnsi"/>
              </w:rPr>
            </w:pPr>
          </w:p>
        </w:tc>
      </w:tr>
    </w:tbl>
    <w:p w14:paraId="63B7B9C9" w14:textId="77777777" w:rsidR="00C4003E" w:rsidRPr="009D53B6" w:rsidRDefault="00C4003E" w:rsidP="008E35E9">
      <w:pPr>
        <w:pStyle w:val="NoSpacing"/>
        <w:ind w:right="90"/>
        <w:rPr>
          <w:rFonts w:asciiTheme="minorHAnsi" w:hAnsiTheme="minorHAnsi"/>
          <w:b/>
          <w:sz w:val="32"/>
          <w:szCs w:val="32"/>
        </w:rPr>
      </w:pPr>
    </w:p>
    <w:p w14:paraId="1A5F4457" w14:textId="77777777" w:rsidR="00C4003E" w:rsidRPr="009D53B6" w:rsidRDefault="00C4003E" w:rsidP="008E35E9">
      <w:pPr>
        <w:pStyle w:val="NoSpacing"/>
        <w:ind w:right="90"/>
        <w:rPr>
          <w:rFonts w:asciiTheme="minorHAnsi" w:hAnsiTheme="minorHAnsi"/>
          <w:b/>
          <w:sz w:val="32"/>
          <w:szCs w:val="32"/>
        </w:rPr>
      </w:pPr>
    </w:p>
    <w:p w14:paraId="53CD7BCC" w14:textId="77777777" w:rsidR="00C4003E" w:rsidRPr="009D53B6" w:rsidRDefault="00C4003E" w:rsidP="008E35E9">
      <w:pPr>
        <w:pStyle w:val="NoSpacing"/>
        <w:ind w:right="90"/>
        <w:rPr>
          <w:rFonts w:asciiTheme="minorHAnsi" w:hAnsiTheme="minorHAnsi"/>
          <w:b/>
          <w:sz w:val="32"/>
          <w:szCs w:val="32"/>
        </w:rPr>
      </w:pPr>
      <w:r w:rsidRPr="009D53B6">
        <w:rPr>
          <w:rFonts w:asciiTheme="minorHAnsi" w:hAnsiTheme="minorHAnsi"/>
          <w:b/>
          <w:sz w:val="32"/>
          <w:szCs w:val="32"/>
        </w:rPr>
        <w:br w:type="page"/>
      </w:r>
    </w:p>
    <w:p w14:paraId="0D1311D0" w14:textId="77777777" w:rsidR="004A3F92" w:rsidRPr="009D53B6" w:rsidRDefault="0003716D" w:rsidP="008E35E9">
      <w:pPr>
        <w:pStyle w:val="NoSpacing"/>
        <w:ind w:right="90"/>
        <w:rPr>
          <w:rFonts w:asciiTheme="minorHAnsi" w:hAnsiTheme="minorHAnsi"/>
        </w:rPr>
      </w:pPr>
    </w:p>
    <w:sectPr w:rsidR="004A3F92" w:rsidRPr="009D53B6" w:rsidSect="008E35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D9E"/>
    <w:multiLevelType w:val="hybridMultilevel"/>
    <w:tmpl w:val="2C5E9670"/>
    <w:lvl w:ilvl="0" w:tplc="E4E81AAA">
      <w:start w:val="1"/>
      <w:numFmt w:val="bullet"/>
      <w:lvlText w:val=""/>
      <w:lvlJc w:val="left"/>
      <w:pPr>
        <w:ind w:left="747" w:hanging="360"/>
      </w:pPr>
      <w:rPr>
        <w:rFonts w:ascii="Wingdings" w:hAnsi="Wingding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 w15:restartNumberingAfterBreak="0">
    <w:nsid w:val="17F96AAE"/>
    <w:multiLevelType w:val="hybridMultilevel"/>
    <w:tmpl w:val="D4CE84C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 w15:restartNumberingAfterBreak="0">
    <w:nsid w:val="1E1D788F"/>
    <w:multiLevelType w:val="hybridMultilevel"/>
    <w:tmpl w:val="9670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14C75"/>
    <w:multiLevelType w:val="hybridMultilevel"/>
    <w:tmpl w:val="A8D0D0CE"/>
    <w:lvl w:ilvl="0" w:tplc="E4E81A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40F4C"/>
    <w:multiLevelType w:val="hybridMultilevel"/>
    <w:tmpl w:val="15E6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21F83"/>
    <w:multiLevelType w:val="hybridMultilevel"/>
    <w:tmpl w:val="2586F48A"/>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3E"/>
    <w:rsid w:val="0003716D"/>
    <w:rsid w:val="001410CC"/>
    <w:rsid w:val="002D4787"/>
    <w:rsid w:val="00323832"/>
    <w:rsid w:val="005202AB"/>
    <w:rsid w:val="005A7994"/>
    <w:rsid w:val="00605953"/>
    <w:rsid w:val="006207C8"/>
    <w:rsid w:val="007320DA"/>
    <w:rsid w:val="0086760F"/>
    <w:rsid w:val="00882035"/>
    <w:rsid w:val="008E35E9"/>
    <w:rsid w:val="009451CC"/>
    <w:rsid w:val="009C118B"/>
    <w:rsid w:val="009D53B6"/>
    <w:rsid w:val="00A232BB"/>
    <w:rsid w:val="00A549E8"/>
    <w:rsid w:val="00B5750F"/>
    <w:rsid w:val="00B9661F"/>
    <w:rsid w:val="00BE3181"/>
    <w:rsid w:val="00C4003E"/>
    <w:rsid w:val="00D21E4D"/>
    <w:rsid w:val="00D41EE2"/>
    <w:rsid w:val="00F54BA2"/>
    <w:rsid w:val="2C6F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844F"/>
  <w15:chartTrackingRefBased/>
  <w15:docId w15:val="{C3C8FE54-2A07-4384-8F02-A8B17B66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0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03E"/>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03E"/>
    <w:pPr>
      <w:spacing w:after="0" w:line="240" w:lineRule="auto"/>
    </w:pPr>
    <w:rPr>
      <w:rFonts w:ascii="Cambria" w:eastAsia="Cambria" w:hAnsi="Cambria" w:cs="Times New Roman"/>
      <w:sz w:val="24"/>
      <w:szCs w:val="24"/>
    </w:rPr>
  </w:style>
  <w:style w:type="paragraph" w:customStyle="1" w:styleId="paragraph">
    <w:name w:val="paragraph"/>
    <w:basedOn w:val="Normal"/>
    <w:rsid w:val="00C40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03E"/>
  </w:style>
  <w:style w:type="character" w:customStyle="1" w:styleId="eop">
    <w:name w:val="eop"/>
    <w:basedOn w:val="DefaultParagraphFont"/>
    <w:rsid w:val="00C4003E"/>
  </w:style>
  <w:style w:type="paragraph" w:styleId="NormalWeb">
    <w:name w:val="Normal (Web)"/>
    <w:basedOn w:val="Normal"/>
    <w:uiPriority w:val="99"/>
    <w:semiHidden/>
    <w:unhideWhenUsed/>
    <w:rsid w:val="002D4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28980">
      <w:bodyDiv w:val="1"/>
      <w:marLeft w:val="0"/>
      <w:marRight w:val="0"/>
      <w:marTop w:val="0"/>
      <w:marBottom w:val="0"/>
      <w:divBdr>
        <w:top w:val="none" w:sz="0" w:space="0" w:color="auto"/>
        <w:left w:val="none" w:sz="0" w:space="0" w:color="auto"/>
        <w:bottom w:val="none" w:sz="0" w:space="0" w:color="auto"/>
        <w:right w:val="none" w:sz="0" w:space="0" w:color="auto"/>
      </w:divBdr>
    </w:div>
    <w:div w:id="741414771">
      <w:bodyDiv w:val="1"/>
      <w:marLeft w:val="0"/>
      <w:marRight w:val="0"/>
      <w:marTop w:val="0"/>
      <w:marBottom w:val="0"/>
      <w:divBdr>
        <w:top w:val="none" w:sz="0" w:space="0" w:color="auto"/>
        <w:left w:val="none" w:sz="0" w:space="0" w:color="auto"/>
        <w:bottom w:val="none" w:sz="0" w:space="0" w:color="auto"/>
        <w:right w:val="none" w:sz="0" w:space="0" w:color="auto"/>
      </w:divBdr>
      <w:divsChild>
        <w:div w:id="192244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33399EA9901469EC14AEADC740CEF" ma:contentTypeVersion="10" ma:contentTypeDescription="Create a new document." ma:contentTypeScope="" ma:versionID="5e2c0d9805a9874e1677e3aeb28b57d9">
  <xsd:schema xmlns:xsd="http://www.w3.org/2001/XMLSchema" xmlns:xs="http://www.w3.org/2001/XMLSchema" xmlns:p="http://schemas.microsoft.com/office/2006/metadata/properties" xmlns:ns1="http://schemas.microsoft.com/sharepoint/v3" xmlns:ns2="94a882d6-9e70-4f40-964f-3da960c38800" xmlns:ns3="fda9bdcb-682e-4649-98ee-40a9108a1d04" targetNamespace="http://schemas.microsoft.com/office/2006/metadata/properties" ma:root="true" ma:fieldsID="3367132758b7b58f9993c528e6a1631b" ns1:_="" ns2:_="" ns3:_="">
    <xsd:import namespace="http://schemas.microsoft.com/sharepoint/v3"/>
    <xsd:import namespace="94a882d6-9e70-4f40-964f-3da960c38800"/>
    <xsd:import namespace="fda9bdcb-682e-4649-98ee-40a9108a1d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882d6-9e70-4f40-964f-3da960c388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9bdcb-682e-4649-98ee-40a9108a1d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C0358E8-AA5F-4CF7-A9F1-7BE3CB719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a882d6-9e70-4f40-964f-3da960c38800"/>
    <ds:schemaRef ds:uri="fda9bdcb-682e-4649-98ee-40a9108a1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B40FE-E845-4F07-9EC6-F1D830AC7AC7}">
  <ds:schemaRefs>
    <ds:schemaRef ds:uri="http://schemas.microsoft.com/sharepoint/v3/contenttype/forms"/>
  </ds:schemaRefs>
</ds:datastoreItem>
</file>

<file path=customXml/itemProps3.xml><?xml version="1.0" encoding="utf-8"?>
<ds:datastoreItem xmlns:ds="http://schemas.openxmlformats.org/officeDocument/2006/customXml" ds:itemID="{50EF79FE-4329-4F66-BED0-06BE3138D8A0}">
  <ds:schemaRefs>
    <ds:schemaRef ds:uri="http://www.w3.org/XML/1998/namespace"/>
    <ds:schemaRef ds:uri="http://purl.org/dc/elements/1.1/"/>
    <ds:schemaRef ds:uri="94a882d6-9e70-4f40-964f-3da960c38800"/>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fda9bdcb-682e-4649-98ee-40a9108a1d0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Olivia</dc:creator>
  <cp:keywords/>
  <dc:description/>
  <cp:lastModifiedBy>Howe, Olivia</cp:lastModifiedBy>
  <cp:revision>2</cp:revision>
  <dcterms:created xsi:type="dcterms:W3CDTF">2018-08-29T21:01:00Z</dcterms:created>
  <dcterms:modified xsi:type="dcterms:W3CDTF">2018-08-29T21:01:00Z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0x0101002BD33399EA9901469EC14AEADC740CEF</vt:lpwstr>
  </property>
</Properties>
</file>